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CAPÍTULO 8</w:t>
      </w:r>
    </w:p>
    <w:p>
      <w:pPr>
        <w:spacing w:after="80"/>
        <w:jc w:val="center"/>
      </w:pPr>
      <w:r>
        <w:rPr>
          <w:rFonts w:ascii="Times New Roman" w:cs="Times New Roman" w:eastAsia="Times New Roman" w:hAnsi="Times New Roman"/>
          <w:b/>
          <w:bCs/>
          <w:sz w:val="32"/>
          <w:szCs w:val="32"/>
        </w:rPr>
        <w:t xml:space="preserve">Predicción Prospectiva con Horizonte Temporal: el Módulo NB08</w:t>
      </w:r>
    </w:p>
    <w:p>
      <w:pPr>
        <w:spacing w:after="400"/>
        <w:jc w:val="center"/>
      </w:pPr>
      <w:r>
        <w:rPr>
          <w:rFonts w:ascii="Times New Roman" w:cs="Times New Roman" w:eastAsia="Times New Roman" w:hAnsi="Times New Roman"/>
          <w:i/>
          <w:iCs/>
          <w:color w:val="666666"/>
          <w:sz w:val="24"/>
          <w:szCs w:val="24"/>
        </w:rPr>
        <w:t xml:space="preserve">Versión 5  ·  Junio 2026</w:t>
      </w:r>
    </w:p>
    <w:p>
      <w:pPr>
        <w:spacing w:after="200" w:before="0" w:line="360" w:lineRule="auto"/>
        <w:jc w:val="both"/>
      </w:pPr>
      <w:r>
        <w:rPr>
          <w:rFonts w:ascii="Times New Roman" w:cs="Times New Roman" w:eastAsia="Times New Roman" w:hAnsi="Times New Roman"/>
          <w:sz w:val="24"/>
          <w:szCs w:val="24"/>
        </w:rPr>
        <w:t xml:space="preserve">El Capítulo 6 cerró con una distinción deliberada: el Risk Score PAC es un índice de caracterización dinámica retrospectiva —se calcula sobre el registro nocturno ya procesado—. Este capítulo desarrolla el módulo NB08, que plantea una pregunta clínicamente más exigente: dado el estado fisiológico PAC actual, ¿puede el sistema anticipar la ocurrencia de un evento severo con suficiente antelación para activar el estimulador eléctrico del SOMNI 6000 antes de que ocurra? La predicción prospectiva es posible porque la inercia del sistema fisiológico PAC genera redundancia temporal —el estado de los próximos 5 min puede inferirse parcialmente del estado actual—, pero esa inercia se disuelve al ampliar el horizonte, explicando la pendiente decreciente del AUC con el lead time.</w:t>
      </w:r>
    </w:p>
    <w:p>
      <w:pPr>
        <w:pStyle w:val="Heading2"/>
        <w:spacing w:after="120" w:before="300"/>
      </w:pPr>
      <w:r>
        <w:rPr>
          <w:rFonts w:ascii="Times New Roman" w:cs="Times New Roman" w:eastAsia="Times New Roman" w:hAnsi="Times New Roman"/>
          <w:b/>
          <w:bCs/>
          <w:sz w:val="26"/>
          <w:szCs w:val="26"/>
        </w:rPr>
        <w:t xml:space="preserve">8.1  Formulación del problema y motivación clínica</w:t>
      </w:r>
    </w:p>
    <w:p>
      <w:pPr>
        <w:spacing w:after="200" w:before="0" w:line="360" w:lineRule="auto"/>
        <w:jc w:val="both"/>
      </w:pPr>
      <w:r>
        <w:rPr>
          <w:rFonts w:ascii="Times New Roman" w:cs="Times New Roman" w:eastAsia="Times New Roman" w:hAnsi="Times New Roman"/>
          <w:sz w:val="24"/>
          <w:szCs w:val="24"/>
        </w:rPr>
        <w:t xml:space="preserve">NB01–NB07 operan retrospectivamente: el registro nocturno ya existe y el pipeline reconstruye su estructura. NB08 invierte esa dirección —opera desde el estado fisiológico actual hacia el evento futuro— y esa inversión es la que define su mayor dificultad (Tabla 8.1). La motivación clínica es específica al dispositivo SOMNI 6000, cuyo estimulador eléctrico transcutáneo requiere un ramp-up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pPr>
        <w:spacing w:after="60" w:before="200"/>
      </w:pPr>
      <w:r>
        <w:rPr>
          <w:rFonts w:ascii="Times New Roman" w:cs="Times New Roman" w:eastAsia="Times New Roman" w:hAnsi="Times New Roman"/>
          <w:b/>
          <w:bCs/>
          <w:sz w:val="20"/>
          <w:szCs w:val="20"/>
        </w:rPr>
        <w:t xml:space="preserve">Tabla 8.1. Comparación de diseño entre NB07 y NB08.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Aspecto</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NB07</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NB08</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Pregunta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 severo este evento en curso?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¿Habrá EDO severo en los próximos Δt min?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Unidad de análisis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Eventos individuales (~76.000)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Ventanas continuas de 30 s (~453.000)</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Condición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 evento ya ocurrió y es observable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hay señal de evento en progreso</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AUC reportada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0,905 (noche) / 0,878 (evento)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0,821 (H = 5 min, horizonte óptimo)</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Acción habilitada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Clasificar severidad en tiempo real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Activar estimulación preventiva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Dificultad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Menor: el evento ya ocurrió</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Mayor: prospectivo, sin señal de evento</w:t>
            </w:r>
          </w:p>
        </w:tc>
      </w:tr>
    </w:tbl>
    <w:p>
      <w:pPr>
        <w:spacing w:after="100" w:before="0" w:line="300" w:lineRule="auto"/>
        <w:jc w:val="both"/>
      </w:pPr>
      <w:r>
        <w:rPr>
          <w:rFonts w:ascii="Times New Roman" w:cs="Times New Roman" w:eastAsia="Times New Roman" w:hAnsi="Times New Roman"/>
          <w:i/>
          <w:iCs/>
          <w:sz w:val="20"/>
          <w:szCs w:val="20"/>
        </w:rPr>
        <w:t xml:space="preserve">Nota. La diferencia de AUC (0,905 vs. 0,821) refleja la dificultad inherente de la tarea prospectiva, no una limitación metodológica del pipeline.</w:t>
      </w:r>
    </w:p>
    <w:p>
      <w:pPr>
        <w:pStyle w:val="Heading2"/>
        <w:spacing w:after="120" w:before="300"/>
      </w:pPr>
      <w:r>
        <w:rPr>
          <w:rFonts w:ascii="Times New Roman" w:cs="Times New Roman" w:eastAsia="Times New Roman" w:hAnsi="Times New Roman"/>
          <w:b/>
          <w:bCs/>
          <w:sz w:val="26"/>
          <w:szCs w:val="26"/>
        </w:rPr>
        <w:t xml:space="preserve">8.2  Diseño del análisis</w:t>
      </w:r>
    </w:p>
    <w:p>
      <w:pPr>
        <w:spacing w:after="200" w:before="0" w:line="360" w:lineRule="auto"/>
        <w:jc w:val="both"/>
      </w:pPr>
      <w:r>
        <w:rPr>
          <w:rFonts w:ascii="Times New Roman" w:cs="Times New Roman" w:eastAsia="Times New Roman" w:hAnsi="Times New Roman"/>
          <w:sz w:val="24"/>
          <w:szCs w:val="24"/>
        </w:rPr>
        <w:t xml:space="preserve">El análisis operó sobre la cohorte estricta (8 pacientes, 540 noches). Para cada noche se generaron ventanas de 30 s contiguas sin solapamiento, excluyendo ventanas con evento activo —condición que define el escenario prospectivo—. El corpus resultante comprende 452.955 ventanas × 4 horizontes H ∈ {2, 5, 10, 15} min; a cada ventana se asigna un target binario y_H = 1 si existe al menos un evento severo C4+C5 en la ventana de H minutos posterior. El vector de features fue diseñado con causalidad estricta —ninguna feature incorpora información posterior al cierre de la ventana— y se agrupa en cinco bloques: estado PAC multiescala activo (S/M/L), posición temporal en la noche (fracción 0–1), historial reciente de eventos totales y severos, morfología reciente (morph_mean_5min, ausente en el 28,7 % de ventanas sin eventos previos) e historial acumulado (ci_sofar, tiempo desde el último EDO, conteo de severos). Se evaluaron LightGBM y regresión logística como baseline en validación LOPO-CV estricta.</w:t>
      </w:r>
    </w:p>
    <w:p>
      <w:pPr>
        <w:spacing w:after="160" w:before="80"/>
      </w:pPr>
      <w:r>
        <w:rPr>
          <w:rFonts w:ascii="Times New Roman" w:cs="Times New Roman" w:eastAsia="Times New Roman" w:hAnsi="Times New Roman"/>
          <w:i/>
          <w:iCs/>
          <w:color w:val="555555"/>
          <w:sz w:val="20"/>
          <w:szCs w:val="20"/>
        </w:rPr>
        <w:t xml:space="preserve">▸ Tablas y figura complementarias en Anexo: Tabla 8.2 (prevalencia por horizonte), Tabla 8.3 (prevalencia por paciente), Fig. 8.1 (descripción del corpus).</w:t>
      </w:r>
    </w:p>
    <w:p>
      <w:pPr>
        <w:pStyle w:val="Heading2"/>
        <w:spacing w:after="120" w:before="300"/>
      </w:pPr>
      <w:r>
        <w:rPr>
          <w:rFonts w:ascii="Times New Roman" w:cs="Times New Roman" w:eastAsia="Times New Roman" w:hAnsi="Times New Roman"/>
          <w:b/>
          <w:bCs/>
          <w:sz w:val="26"/>
          <w:szCs w:val="26"/>
        </w:rPr>
        <w:t xml:space="preserve">8.3  Prevalencia del target y heterogeneidad inter-paciente</w:t>
      </w:r>
    </w:p>
    <w:p>
      <w:pPr>
        <w:spacing w:after="200" w:before="0" w:line="360" w:lineRule="auto"/>
        <w:jc w:val="both"/>
      </w:pPr>
      <w:r>
        <w:rPr>
          <w:rFonts w:ascii="Times New Roman" w:cs="Times New Roman" w:eastAsia="Times New Roman" w:hAnsi="Times New Roman"/>
          <w:sz w:val="24"/>
          <w:szCs w:val="24"/>
        </w:rPr>
        <w:t xml:space="preserve">La prevalencia de la clase positiva crece monótonamente con el horizonte: 3,74 % (H = 2 min), 8,04 % (H = 5 min), 13,88 % (H = 10 min), 18,89 % (H = 15 min). 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pPr>
        <w:pStyle w:val="Heading2"/>
        <w:spacing w:after="120" w:before="300"/>
      </w:pPr>
      <w:r>
        <w:rPr>
          <w:rFonts w:ascii="Times New Roman" w:cs="Times New Roman" w:eastAsia="Times New Roman" w:hAnsi="Times New Roman"/>
          <w:b/>
          <w:bCs/>
          <w:sz w:val="26"/>
          <w:szCs w:val="26"/>
        </w:rPr>
        <w:t xml:space="preserve">8.4  Rendimiento discriminativo</w:t>
      </w:r>
    </w:p>
    <w:p>
      <w:pPr>
        <w:spacing w:after="200" w:before="0" w:line="360" w:lineRule="auto"/>
        <w:jc w:val="both"/>
      </w:pPr>
      <w:r>
        <w:rPr>
          <w:rFonts w:ascii="Times New Roman" w:cs="Times New Roman" w:eastAsia="Times New Roman" w:hAnsi="Times New Roman"/>
          <w:sz w:val="24"/>
          <w:szCs w:val="24"/>
        </w:rPr>
        <w:t xml:space="preserve">La Tabla 8.4 presenta el AUC-ROC y la Average Precision por horizonte.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 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El hallazgo contraintuitivo del Paciente 314 —mayor AUC (0,87) con menor prevalencia (1,6 %)— confirma que discriminación y prevalencia son ortogonales: el sistema PAC anticipa bien los eventos cuando son fisiológicamente inusuales para ese individuo.</w:t>
      </w:r>
    </w:p>
    <w:p>
      <w:pPr>
        <w:spacing w:after="60" w:before="200"/>
      </w:pPr>
      <w:r>
        <w:rPr>
          <w:rFonts w:ascii="Times New Roman" w:cs="Times New Roman" w:eastAsia="Times New Roman" w:hAnsi="Times New Roman"/>
          <w:b/>
          <w:bCs/>
          <w:sz w:val="20"/>
          <w:szCs w:val="20"/>
        </w:rPr>
        <w:t xml:space="preserve">Tabla 8.4. AUC-ROC y Average Precision por horizonte y modelo — LOPO-CV (NB08, 452.955 ventanas, 8 pacientes).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800"/>
        <w:gridCol w:w="18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Horizonte</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AUC Logística</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AUC LightGBM</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AP LightGBM</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Mejora AP s/ base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min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0,789</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0,838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5,4×</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0,774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4,1×</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min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0,760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0,783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0,396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2,9×</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 min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0,750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0,763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0,449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w:t>
            </w:r>
          </w:p>
        </w:tc>
      </w:tr>
    </w:tbl>
    <w:p>
      <w:pPr>
        <w:spacing w:after="100" w:before="0" w:line="300" w:lineRule="auto"/>
        <w:jc w:val="both"/>
      </w:pPr>
      <w:r>
        <w:rPr>
          <w:rFonts w:ascii="Times New Roman" w:cs="Times New Roman" w:eastAsia="Times New Roman" w:hAnsi="Times New Roman"/>
          <w:i/>
          <w:iCs/>
          <w:sz w:val="20"/>
          <w:szCs w:val="20"/>
        </w:rPr>
        <w:t xml:space="preserve">Nota. Horizonte óptimo seleccionado: H = 5 min. Mejora AP: ratio AP LightGBM / prevalencia base. AP es más informativa que AUC en datasets desbalanceados (Saito &amp; Rehmsmeier, 2015).</w:t>
      </w:r>
    </w:p>
    <w:p>
      <w:pPr>
        <w:spacing w:after="160" w:before="80"/>
      </w:pPr>
      <w:r>
        <w:rPr>
          <w:rFonts w:ascii="Times New Roman" w:cs="Times New Roman" w:eastAsia="Times New Roman" w:hAnsi="Times New Roman"/>
          <w:i/>
          <w:iCs/>
          <w:color w:val="555555"/>
          <w:sz w:val="20"/>
          <w:szCs w:val="20"/>
        </w:rPr>
        <w:t xml:space="preserve">▸ Figuras complementarias en Anexo: Fig. 8.2 (AUC y AP por horizonte), Fig. 8.3 (importancia de features por horizonte), Fig. 8.4 (AUC por paciente y horizonte).</w:t>
      </w:r>
    </w:p>
    <w:p>
      <w:pPr>
        <w:pStyle w:val="Heading2"/>
        <w:spacing w:after="120" w:before="300"/>
      </w:pPr>
      <w:r>
        <w:rPr>
          <w:rFonts w:ascii="Times New Roman" w:cs="Times New Roman" w:eastAsia="Times New Roman" w:hAnsi="Times New Roman"/>
          <w:b/>
          <w:bCs/>
          <w:sz w:val="26"/>
          <w:szCs w:val="26"/>
        </w:rPr>
        <w:t xml:space="preserve">8.5  Análisis operacional: horizonte óptimo y umbral de activación</w:t>
      </w:r>
    </w:p>
    <w:p>
      <w:pPr>
        <w:spacing w:after="200" w:before="0" w:line="360" w:lineRule="auto"/>
        <w:jc w:val="both"/>
      </w:pPr>
      <w:r>
        <w:rPr>
          <w:rFonts w:ascii="Times New Roman" w:cs="Times New Roman" w:eastAsia="Times New Roman" w:hAnsi="Times New Roman"/>
          <w:sz w:val="24"/>
          <w:szCs w:val="24"/>
        </w:rPr>
        <w:t xml:space="preserve">El horizonte H = 5 min ofrece el mejor balance entre las dimensiones relevantes para uso clínico: sensibilidad del 76 % (detecta 3 de cada 4 eventos severos próximos), especificidad del 74 % y PPV del 20 % (1 de cada 5 alarmas corresponde a un evento real), según la Tabla 8.6. Con H = 2 min la sensibilidad sube al 82 % pero el PPV cae al 9,6 %, lo que implicaría nueve falsas alarmas por cada activación real del estimulador. Una estimación de primer orden —no una simulación validada— sugiere que con prevalencia del 8 % y especificidad del 74 %, el sistema generaría ~20 episodios-alarma por noche, de los cuales ~5 corresponderían a eventos severos reales.</w:t>
      </w:r>
    </w:p>
    <w:p>
      <w:pPr>
        <w:spacing w:after="60" w:before="200"/>
      </w:pPr>
      <w:r>
        <w:rPr>
          <w:rFonts w:ascii="Times New Roman" w:cs="Times New Roman" w:eastAsia="Times New Roman" w:hAnsi="Times New Roman"/>
          <w:b/>
          <w:bCs/>
          <w:sz w:val="20"/>
          <w:szCs w:val="20"/>
        </w:rPr>
        <w:t xml:space="preserve">Tabla 8.6. Métricas operacionales en el umbral de Youden óptimo por horizonte (LightGBM, LOPO-CV).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300"/>
        <w:gridCol w:w="14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Horizonte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Umbral Youden</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Sensibilidad</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Especificidad</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PPV</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Interpretación</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0,393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9,6 %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de cada 10 alarmas es real</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0,459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20,1 %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de cada 5 alarmas es real</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29,8 %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de cada 3 alarmas es real</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0,465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35,4 %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de cada 3 alarmas es real</w:t>
            </w:r>
          </w:p>
        </w:tc>
      </w:tr>
    </w:tbl>
    <w:p>
      <w:pPr>
        <w:spacing w:after="100" w:before="0" w:line="300" w:lineRule="auto"/>
        <w:jc w:val="both"/>
      </w:pPr>
      <w:r>
        <w:rPr>
          <w:rFonts w:ascii="Times New Roman" w:cs="Times New Roman" w:eastAsia="Times New Roman" w:hAnsi="Times New Roman"/>
          <w:i/>
          <w:iCs/>
          <w:sz w:val="20"/>
          <w:szCs w:val="20"/>
        </w:rPr>
        <w:t xml:space="preserve">Nota. Umbral de Youden: maximiza Sensibilidad + Especificidad − 1. PPV = Valor Predictivo Positivo. Fila resaltada: horizonte operacional seleccionado.</w:t>
      </w:r>
    </w:p>
    <w:p>
      <w:pPr>
        <w:spacing w:after="160" w:before="80"/>
      </w:pPr>
      <w:r>
        <w:rPr>
          <w:rFonts w:ascii="Times New Roman" w:cs="Times New Roman" w:eastAsia="Times New Roman" w:hAnsi="Times New Roman"/>
          <w:i/>
          <w:iCs/>
          <w:color w:val="555555"/>
          <w:sz w:val="20"/>
          <w:szCs w:val="20"/>
        </w:rPr>
        <w:t xml:space="preserve">▸ Figura complementaria en Anexo: Fig. 8.5 (curvas de sensibilidad y especificidad por horizonte), Fig. 8.6 (perfil de riesgo temporal y calibración, H = 5 min).</w:t>
      </w:r>
    </w:p>
    <w:p>
      <w:pPr>
        <w:pStyle w:val="Heading2"/>
        <w:spacing w:after="120" w:before="300"/>
      </w:pPr>
      <w:r>
        <w:rPr>
          <w:rFonts w:ascii="Times New Roman" w:cs="Times New Roman" w:eastAsia="Times New Roman" w:hAnsi="Times New Roman"/>
          <w:b/>
          <w:bCs/>
          <w:sz w:val="26"/>
          <w:szCs w:val="26"/>
        </w:rPr>
        <w:t xml:space="preserve">8.6  Implicancias para la estimulación y limitaciones</w:t>
      </w:r>
    </w:p>
    <w:p>
      <w:pPr>
        <w:spacing w:after="200" w:before="0" w:line="360" w:lineRule="auto"/>
        <w:jc w:val="both"/>
      </w:pPr>
      <w:r>
        <w:rPr>
          <w:rFonts w:ascii="Times New Roman" w:cs="Times New Roman" w:eastAsia="Times New Roman" w:hAnsi="Times New Roman"/>
          <w:sz w:val="24"/>
          <w:szCs w:val="24"/>
        </w:rPr>
        <w:t xml:space="preserve">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—predicción → decisión → actuación → efecto fisiológico— opera bajo la hipótesis de que el estímulo transcutáneo reduce la probabilidad del evento predicho; NB08 no establece ni refuta esa hipótesis: define únicamente la condición algorítmica mínima para que una intervención adaptativa sea plausible.</w:t>
      </w:r>
    </w:p>
    <w:p>
      <w:pPr>
        <w:spacing w:after="200" w:before="0" w:line="360" w:lineRule="auto"/>
        <w:jc w:val="both"/>
      </w:pPr>
      <w:r>
        <w:rPr>
          <w:rFonts w:ascii="Times New Roman" w:cs="Times New Roman" w:eastAsia="Times New Roman" w:hAnsi="Times New Roman"/>
          <w:sz w:val="24"/>
          <w:szCs w:val="24"/>
        </w:rPr>
        <w:t xml:space="preserve">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pPr>
        <w:pStyle w:val="Heading2"/>
        <w:spacing w:after="120" w:before="300"/>
      </w:pPr>
      <w:r>
        <w:rPr>
          <w:rFonts w:ascii="Times New Roman" w:cs="Times New Roman" w:eastAsia="Times New Roman" w:hAnsi="Times New Roman"/>
          <w:b/>
          <w:bCs/>
          <w:sz w:val="26"/>
          <w:szCs w:val="26"/>
        </w:rPr>
        <w:t xml:space="preserve">8.7  Conclusión</w:t>
      </w:r>
    </w:p>
    <w:p>
      <w:pPr>
        <w:spacing w:after="200" w:before="0" w:line="360" w:lineRule="auto"/>
        <w:jc w:val="both"/>
      </w:pPr>
      <w:r>
        <w:rPr>
          <w:rFonts w:ascii="Times New Roman" w:cs="Times New Roman" w:eastAsia="Times New Roman" w:hAnsi="Times New Roman"/>
          <w:sz w:val="24"/>
          <w:szCs w:val="24"/>
        </w:rPr>
        <w:t xml:space="preserve">El módulo NB08 cierra el arco analítico del Proyecto PAC. La respuesta a la pregunta que lo organiza es afirmativa con matices importantes: el sistema PAC puede predecir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pPr>
        <w:spacing w:after="200" w:before="0" w:line="360" w:lineRule="auto"/>
        <w:jc w:val="both"/>
      </w:pPr>
      <w:r>
        <w:rPr>
          <w:rFonts w:ascii="Times New Roman" w:cs="Times New Roman" w:eastAsia="Times New Roman" w:hAnsi="Times New Roman"/>
          <w:sz w:val="24"/>
          <w:szCs w:val="24"/>
        </w:rPr>
        <w:t xml:space="preserve">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lo que deja pendiente —la validación del efecto terapéutico del estimulador, la calibración individual y la confirmación en cohortes externas— constituye la agenda del ensayo clínico controlado cuyo diseño se esboza en Cap09.</w:t>
      </w:r>
    </w:p>
    <w:p>
      <w:pPr>
        <w:spacing w:before="400"/>
      </w:pPr>
      <w:r>
        <w:rPr>
          <w:rFonts w:ascii="Times New Roman" w:cs="Times New Roman" w:eastAsia="Times New Roman" w:hAnsi="Times New Roman"/>
          <w:i/>
          <w:iCs/>
          <w:color w:val="444444"/>
          <w:sz w:val="24"/>
          <w:szCs w:val="24"/>
        </w:rPr>
        <w:t xml:space="preserve">Continúa en Capítulo 9 — Discusión</w:t>
      </w:r>
    </w:p>
    <w:sectPr>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2026-06-02T19:06:23.150Z</dcterms:created>
  <dcterms:modified xsi:type="dcterms:W3CDTF">2026-06-02T19:06:23.150Z</dcterms:modified>
</cp:coreProperties>
</file>

<file path=docProps/custom.xml><?xml version="1.0" encoding="utf-8"?>
<Properties xmlns="http://schemas.openxmlformats.org/officeDocument/2006/custom-properties" xmlns:vt="http://schemas.openxmlformats.org/officeDocument/2006/docPropsVTypes"/>
</file>