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2C80" w14:textId="77777777" w:rsidR="00AB2979" w:rsidRPr="00B61AF2"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BE2FBA6" w14:textId="77777777" w:rsidR="00AB2979" w:rsidRPr="00B61AF2"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0DDCDE48" w14:textId="77777777" w:rsidR="00AB2979" w:rsidRPr="00B61AF2"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6D4834DD" w14:textId="77777777" w:rsidR="00766955" w:rsidRPr="00B61AF2"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0620F1C8" w14:textId="77777777" w:rsidR="00AB2979" w:rsidRPr="00B61AF2" w:rsidRDefault="00000000">
      <w:pPr>
        <w:pStyle w:val="Ttulo2"/>
        <w:rPr>
          <w:rFonts w:asciiTheme="minorHAnsi" w:hAnsiTheme="minorHAnsi"/>
        </w:rPr>
      </w:pPr>
      <w:r>
        <w:rPr>
          <w:rFonts w:asciiTheme="minorHAnsi" w:hAnsiTheme="minorHAnsi"/>
        </w:rPr>
        <w:t>8.1  Formulación del problema y motivación clínica</w:t>
      </w:r>
    </w:p>
    <w:p w14:paraId="38E843EC" w14:textId="77777777" w:rsidR="00766955" w:rsidRPr="00B61AF2"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41828C67" w14:textId="77777777" w:rsidR="00AB2979" w:rsidRPr="00B61AF2" w:rsidRDefault="00000000">
      <w:pPr>
        <w:spacing w:before="200" w:after="60"/>
        <w:rPr>
          <w:rFonts w:asciiTheme="minorHAnsi" w:hAnsiTheme="minorHAnsi"/>
        </w:rPr>
      </w:pPr>
      <w:r>
        <w:rPr>
          <w:rFonts w:asciiTheme="minorHAnsi" w:hAnsiTheme="minorHAnsi"/>
          <w:b/>
          <w:bCs/>
          <w:sz w:val="20"/>
          <w:szCs w:val="20"/>
        </w:rPr>
        <w:t>Tabla 8.1. Comparación de diseño entre NB07 y NB08.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B61AF2" w14:paraId="46EF740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85112D3" w14:textId="77777777" w:rsidR="00AB2979" w:rsidRPr="00B61AF2"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4C0676" w14:textId="77777777" w:rsidR="00AB2979" w:rsidRPr="00B61AF2"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A0C698" w14:textId="77777777" w:rsidR="00AB2979" w:rsidRPr="00B61AF2"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B61AF2" w14:paraId="65076EB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52CE" w14:textId="77777777" w:rsidR="00AB2979" w:rsidRPr="00B61AF2"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FA01F" w14:textId="77777777" w:rsidR="00AB2979" w:rsidRPr="00B61AF2"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EA5B1" w14:textId="77777777" w:rsidR="00AB2979" w:rsidRPr="00B61AF2" w:rsidRDefault="00000000">
            <w:pPr>
              <w:rPr>
                <w:rFonts w:asciiTheme="minorHAnsi" w:hAnsiTheme="minorHAnsi"/>
              </w:rPr>
            </w:pPr>
            <w:r>
              <w:rPr>
                <w:rFonts w:asciiTheme="minorHAnsi" w:hAnsiTheme="minorHAnsi"/>
                <w:sz w:val="20"/>
                <w:szCs w:val="20"/>
              </w:rPr>
              <w:t>¿Habrá EDO severo en los próximos Δt min?</w:t>
            </w:r>
          </w:p>
        </w:tc>
      </w:tr>
      <w:tr w:rsidR="00AB2979" w:rsidRPr="00B61AF2" w14:paraId="5D9F57E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010AA" w14:textId="77777777" w:rsidR="00AB2979" w:rsidRPr="00B61AF2"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C38F3" w14:textId="77777777" w:rsidR="00AB2979" w:rsidRPr="00B61AF2"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1B166" w14:textId="77777777" w:rsidR="00AB2979" w:rsidRPr="00B61AF2" w:rsidRDefault="00000000">
            <w:pPr>
              <w:rPr>
                <w:rFonts w:asciiTheme="minorHAnsi" w:hAnsiTheme="minorHAnsi"/>
              </w:rPr>
            </w:pPr>
            <w:r>
              <w:rPr>
                <w:rFonts w:asciiTheme="minorHAnsi" w:hAnsiTheme="minorHAnsi"/>
                <w:sz w:val="20"/>
                <w:szCs w:val="20"/>
              </w:rPr>
              <w:t>Ventanas continuas de 30 s (~453.000)</w:t>
            </w:r>
          </w:p>
        </w:tc>
      </w:tr>
      <w:tr w:rsidR="00AB2979" w:rsidRPr="00B61AF2" w14:paraId="5396959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C9F3F" w14:textId="77777777" w:rsidR="00AB2979" w:rsidRPr="00B61AF2"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61BAA" w14:textId="77777777" w:rsidR="00AB2979" w:rsidRPr="00B61AF2"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01231" w14:textId="77777777" w:rsidR="00AB2979" w:rsidRPr="00B61AF2" w:rsidRDefault="00000000">
            <w:pPr>
              <w:rPr>
                <w:rFonts w:asciiTheme="minorHAnsi" w:hAnsiTheme="minorHAnsi"/>
              </w:rPr>
            </w:pPr>
            <w:r>
              <w:rPr>
                <w:rFonts w:asciiTheme="minorHAnsi" w:hAnsiTheme="minorHAnsi"/>
                <w:sz w:val="20"/>
                <w:szCs w:val="20"/>
              </w:rPr>
              <w:t>No hay señal de evento en progreso</w:t>
            </w:r>
          </w:p>
        </w:tc>
      </w:tr>
      <w:tr w:rsidR="00AB2979" w:rsidRPr="00B61AF2" w14:paraId="03371C2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515F2" w14:textId="77777777" w:rsidR="00AB2979" w:rsidRPr="00B61AF2"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7D42F" w14:textId="77777777" w:rsidR="00AB2979" w:rsidRPr="00B61AF2" w:rsidRDefault="00000000">
            <w:pPr>
              <w:rPr>
                <w:rFonts w:asciiTheme="minorHAnsi" w:hAnsiTheme="minorHAnsi"/>
              </w:rPr>
            </w:pPr>
            <w:r>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3DECD" w14:textId="77777777" w:rsidR="00AB2979" w:rsidRPr="00B61AF2" w:rsidRDefault="00000000">
            <w:pPr>
              <w:rPr>
                <w:rFonts w:asciiTheme="minorHAnsi" w:hAnsiTheme="minorHAnsi"/>
              </w:rPr>
            </w:pPr>
            <w:r>
              <w:rPr>
                <w:rFonts w:asciiTheme="minorHAnsi" w:hAnsiTheme="minorHAnsi"/>
                <w:sz w:val="20"/>
                <w:szCs w:val="20"/>
              </w:rPr>
              <w:t>0,821 (H = 5 min, horizonte óptimo)</w:t>
            </w:r>
          </w:p>
        </w:tc>
      </w:tr>
      <w:tr w:rsidR="00AB2979" w:rsidRPr="00B61AF2" w14:paraId="71479D9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F575C" w14:textId="77777777" w:rsidR="00AB2979" w:rsidRPr="00B61AF2"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74CCD" w14:textId="77777777" w:rsidR="00AB2979" w:rsidRPr="00B61AF2"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A1FED" w14:textId="77777777" w:rsidR="00AB2979" w:rsidRPr="00B61AF2" w:rsidRDefault="00000000">
            <w:pPr>
              <w:rPr>
                <w:rFonts w:asciiTheme="minorHAnsi" w:hAnsiTheme="minorHAnsi"/>
              </w:rPr>
            </w:pPr>
            <w:r>
              <w:rPr>
                <w:rFonts w:asciiTheme="minorHAnsi" w:hAnsiTheme="minorHAnsi"/>
                <w:sz w:val="20"/>
                <w:szCs w:val="20"/>
              </w:rPr>
              <w:t>Activar estimulación preventiva</w:t>
            </w:r>
          </w:p>
        </w:tc>
      </w:tr>
      <w:tr w:rsidR="00AB2979" w:rsidRPr="00B61AF2" w14:paraId="478FD0E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48EAD" w14:textId="77777777" w:rsidR="00AB2979" w:rsidRPr="00B61AF2"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27C4F" w14:textId="77777777" w:rsidR="00AB2979" w:rsidRPr="00B61AF2"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7A708" w14:textId="77777777" w:rsidR="00AB2979" w:rsidRPr="00B61AF2" w:rsidRDefault="00000000">
            <w:pPr>
              <w:rPr>
                <w:rFonts w:asciiTheme="minorHAnsi" w:hAnsiTheme="minorHAnsi"/>
              </w:rPr>
            </w:pPr>
            <w:r>
              <w:rPr>
                <w:rFonts w:asciiTheme="minorHAnsi" w:hAnsiTheme="minorHAnsi"/>
                <w:sz w:val="20"/>
                <w:szCs w:val="20"/>
              </w:rPr>
              <w:t>Mayor: prospectivo, sin señal de evento</w:t>
            </w:r>
          </w:p>
        </w:tc>
      </w:tr>
    </w:tbl>
    <w:p w14:paraId="734EC09A" w14:textId="77777777" w:rsidR="00AB2979" w:rsidRPr="00B61AF2"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vs. 0,821) refleja la dificultad inherente de la tarea prospectiva, no una limitación metodológica del pipeline.</w:t>
      </w:r>
    </w:p>
    <w:p w14:paraId="2F3FD01A" w14:textId="77777777" w:rsidR="00AF10ED" w:rsidRPr="00B61AF2"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3E1F4E89" w14:textId="77777777" w:rsidR="00AB2979" w:rsidRPr="00B61AF2" w:rsidRDefault="00000000">
      <w:pPr>
        <w:pStyle w:val="Ttulo2"/>
        <w:rPr>
          <w:rFonts w:asciiTheme="minorHAnsi" w:hAnsiTheme="minorHAnsi"/>
        </w:rPr>
      </w:pPr>
      <w:r>
        <w:rPr>
          <w:rFonts w:asciiTheme="minorHAnsi" w:hAnsiTheme="minorHAnsi"/>
        </w:rPr>
        <w:t>8.2  Diseño del análisis</w:t>
      </w:r>
    </w:p>
    <w:p w14:paraId="5214B67C" w14:textId="77777777" w:rsidR="005560BB" w:rsidRPr="00B61AF2"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7FA98F48" w14:textId="77777777" w:rsidR="00AB2979" w:rsidRPr="00B61AF2" w:rsidRDefault="00000000">
      <w:pPr>
        <w:pStyle w:val="Ttulo2"/>
        <w:rPr>
          <w:rFonts w:asciiTheme="minorHAnsi" w:hAnsiTheme="minorHAnsi"/>
        </w:rPr>
      </w:pPr>
      <w:r>
        <w:rPr>
          <w:rFonts w:asciiTheme="minorHAnsi" w:hAnsiTheme="minorHAnsi"/>
        </w:rPr>
        <w:t>8.3  Prevalencia del target y heterogeneidad inter-paciente</w:t>
      </w:r>
    </w:p>
    <w:p w14:paraId="26EAAE00" w14:textId="77777777" w:rsidR="000278FF"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1421FE9C" w14:textId="77777777" w:rsidR="000278FF" w:rsidRPr="00B61AF2"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B61AF2" w14:paraId="420ED076"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315A85" w14:textId="77777777" w:rsidR="000278FF" w:rsidRPr="00B61AF2"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6A94D5" w14:textId="77777777" w:rsidR="000278FF" w:rsidRPr="00B61AF2"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DC743E" w14:textId="77777777" w:rsidR="000278FF" w:rsidRPr="00B61AF2"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641F3A" w14:textId="77777777" w:rsidR="000278FF" w:rsidRPr="00B61AF2" w:rsidRDefault="000278FF" w:rsidP="00E72CB4">
            <w:pPr>
              <w:rPr>
                <w:rFonts w:asciiTheme="minorHAnsi" w:hAnsiTheme="minorHAnsi"/>
              </w:rPr>
            </w:pPr>
            <w:r>
              <w:rPr>
                <w:rFonts w:asciiTheme="minorHAnsi" w:hAnsiTheme="minorHAnsi"/>
                <w:b/>
                <w:bCs/>
                <w:sz w:val="20"/>
                <w:szCs w:val="20"/>
              </w:rPr>
              <w:t>Prevalencia (%)</w:t>
            </w:r>
          </w:p>
        </w:tc>
      </w:tr>
      <w:tr w:rsidR="000278FF" w:rsidRPr="00B61AF2" w14:paraId="121FBAB0"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007EC" w14:textId="77777777" w:rsidR="000278FF" w:rsidRPr="00B61AF2"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CC664" w14:textId="77777777" w:rsidR="000278FF" w:rsidRPr="00B61AF2"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EC7C" w14:textId="77777777" w:rsidR="000278FF" w:rsidRPr="00B61AF2"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3F1CA" w14:textId="77777777" w:rsidR="000278FF" w:rsidRPr="00B61AF2" w:rsidRDefault="000278FF" w:rsidP="00E72CB4">
            <w:pPr>
              <w:rPr>
                <w:rFonts w:asciiTheme="minorHAnsi" w:hAnsiTheme="minorHAnsi"/>
              </w:rPr>
            </w:pPr>
            <w:r>
              <w:rPr>
                <w:rFonts w:asciiTheme="minorHAnsi" w:hAnsiTheme="minorHAnsi"/>
                <w:sz w:val="20"/>
                <w:szCs w:val="20"/>
              </w:rPr>
              <w:t>3,74 %</w:t>
            </w:r>
          </w:p>
        </w:tc>
      </w:tr>
      <w:tr w:rsidR="000278FF" w:rsidRPr="00B61AF2" w14:paraId="76E0F8FF"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649B66C" w14:textId="77777777" w:rsidR="000278FF" w:rsidRPr="00B61AF2"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4E827D3" w14:textId="77777777" w:rsidR="000278FF" w:rsidRPr="00B61AF2"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4C9448" w14:textId="77777777" w:rsidR="000278FF" w:rsidRPr="00B61AF2"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9E164B3" w14:textId="77777777" w:rsidR="000278FF" w:rsidRPr="00B61AF2" w:rsidRDefault="000278FF" w:rsidP="00E72CB4">
            <w:pPr>
              <w:rPr>
                <w:rFonts w:asciiTheme="minorHAnsi" w:hAnsiTheme="minorHAnsi"/>
              </w:rPr>
            </w:pPr>
            <w:r>
              <w:rPr>
                <w:rFonts w:asciiTheme="minorHAnsi" w:hAnsiTheme="minorHAnsi"/>
                <w:sz w:val="20"/>
                <w:szCs w:val="20"/>
              </w:rPr>
              <w:t>8,04 %</w:t>
            </w:r>
          </w:p>
        </w:tc>
      </w:tr>
      <w:tr w:rsidR="000278FF" w:rsidRPr="00B61AF2" w14:paraId="6E8BA98D"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D43E7" w14:textId="77777777" w:rsidR="000278FF" w:rsidRPr="00B61AF2"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2B2BD" w14:textId="77777777" w:rsidR="000278FF" w:rsidRPr="00B61AF2"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FAA84" w14:textId="77777777" w:rsidR="000278FF" w:rsidRPr="00B61AF2"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D6A16" w14:textId="77777777" w:rsidR="000278FF" w:rsidRPr="00B61AF2" w:rsidRDefault="000278FF" w:rsidP="00E72CB4">
            <w:pPr>
              <w:rPr>
                <w:rFonts w:asciiTheme="minorHAnsi" w:hAnsiTheme="minorHAnsi"/>
              </w:rPr>
            </w:pPr>
            <w:r>
              <w:rPr>
                <w:rFonts w:asciiTheme="minorHAnsi" w:hAnsiTheme="minorHAnsi"/>
                <w:sz w:val="20"/>
                <w:szCs w:val="20"/>
              </w:rPr>
              <w:t>13,88 %</w:t>
            </w:r>
          </w:p>
        </w:tc>
      </w:tr>
      <w:tr w:rsidR="000278FF" w:rsidRPr="00B61AF2" w14:paraId="5E6F7E23"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F48513" w14:textId="77777777" w:rsidR="000278FF" w:rsidRPr="00B61AF2"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A217AD" w14:textId="77777777" w:rsidR="000278FF" w:rsidRPr="00B61AF2"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672FF5F" w14:textId="77777777" w:rsidR="000278FF" w:rsidRPr="00B61AF2"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4BBA9D6" w14:textId="77777777" w:rsidR="000278FF" w:rsidRPr="00B61AF2" w:rsidRDefault="000278FF" w:rsidP="00E72CB4">
            <w:pPr>
              <w:rPr>
                <w:rFonts w:asciiTheme="minorHAnsi" w:hAnsiTheme="minorHAnsi"/>
              </w:rPr>
            </w:pPr>
            <w:r>
              <w:rPr>
                <w:rFonts w:asciiTheme="minorHAnsi" w:hAnsiTheme="minorHAnsi"/>
                <w:sz w:val="20"/>
                <w:szCs w:val="20"/>
              </w:rPr>
              <w:t>18,89 %</w:t>
            </w:r>
          </w:p>
        </w:tc>
      </w:tr>
    </w:tbl>
    <w:p w14:paraId="7646E73E" w14:textId="77777777" w:rsidR="00712693" w:rsidRPr="00712693"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19223042" w14:textId="77777777" w:rsidR="00AB2979" w:rsidRPr="00B61AF2"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4FA21BAF" w14:textId="77777777" w:rsidR="00D21A1D" w:rsidRPr="00B61AF2"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B61AF2" w14:paraId="74889C2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0CDBE6" w14:textId="77777777" w:rsidR="00D21A1D" w:rsidRPr="00B61AF2"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5CB96F" w14:textId="77777777" w:rsidR="00D21A1D" w:rsidRPr="00B61AF2"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2979E" w14:textId="77777777" w:rsidR="00D21A1D" w:rsidRPr="00B61AF2"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BF3607" w14:textId="77777777" w:rsidR="00D21A1D" w:rsidRPr="00B61AF2" w:rsidRDefault="00000000">
            <w:pPr>
              <w:rPr>
                <w:rFonts w:asciiTheme="minorHAnsi" w:hAnsiTheme="minorHAnsi"/>
              </w:rPr>
            </w:pPr>
            <w:r>
              <w:rPr>
                <w:rFonts w:asciiTheme="minorHAnsi" w:hAnsiTheme="minorHAnsi"/>
                <w:b/>
                <w:bCs/>
                <w:sz w:val="20"/>
                <w:szCs w:val="20"/>
              </w:rPr>
              <w:t>Prevalencia (%)</w:t>
            </w:r>
          </w:p>
        </w:tc>
      </w:tr>
      <w:tr w:rsidR="00D21A1D" w:rsidRPr="00B61AF2" w14:paraId="077FA54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AAC47" w14:textId="77777777" w:rsidR="00D21A1D" w:rsidRPr="00B61AF2"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FF73C" w14:textId="77777777" w:rsidR="00D21A1D" w:rsidRPr="00B61AF2"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C91AA" w14:textId="77777777" w:rsidR="00D21A1D" w:rsidRPr="00B61AF2"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CEA91" w14:textId="77777777" w:rsidR="00D21A1D" w:rsidRPr="00B61AF2" w:rsidRDefault="00000000">
            <w:pPr>
              <w:rPr>
                <w:rFonts w:asciiTheme="minorHAnsi" w:hAnsiTheme="minorHAnsi"/>
              </w:rPr>
            </w:pPr>
            <w:r>
              <w:rPr>
                <w:rFonts w:asciiTheme="minorHAnsi" w:hAnsiTheme="minorHAnsi"/>
                <w:sz w:val="20"/>
                <w:szCs w:val="20"/>
              </w:rPr>
              <w:t>32,1 %</w:t>
            </w:r>
          </w:p>
        </w:tc>
      </w:tr>
      <w:tr w:rsidR="00D21A1D" w:rsidRPr="00B61AF2" w14:paraId="096CB9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6F45E26" w14:textId="77777777" w:rsidR="00D21A1D" w:rsidRPr="00B61AF2"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CCAAFA" w14:textId="77777777" w:rsidR="00D21A1D" w:rsidRPr="00B61AF2"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1C8041F" w14:textId="77777777" w:rsidR="00D21A1D" w:rsidRPr="00B61AF2"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1530828" w14:textId="77777777" w:rsidR="00D21A1D" w:rsidRPr="00B61AF2" w:rsidRDefault="00000000">
            <w:pPr>
              <w:rPr>
                <w:rFonts w:asciiTheme="minorHAnsi" w:hAnsiTheme="minorHAnsi"/>
              </w:rPr>
            </w:pPr>
            <w:r>
              <w:rPr>
                <w:rFonts w:asciiTheme="minorHAnsi" w:hAnsiTheme="minorHAnsi"/>
                <w:sz w:val="20"/>
                <w:szCs w:val="20"/>
              </w:rPr>
              <w:t>12,3 %</w:t>
            </w:r>
          </w:p>
        </w:tc>
      </w:tr>
      <w:tr w:rsidR="00D21A1D" w:rsidRPr="00B61AF2" w14:paraId="70BAD12F"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FD991" w14:textId="77777777" w:rsidR="00D21A1D" w:rsidRPr="00B61AF2"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A5415" w14:textId="77777777" w:rsidR="00D21A1D" w:rsidRPr="00B61AF2"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8A39C" w14:textId="77777777" w:rsidR="00D21A1D" w:rsidRPr="00B61AF2"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98CC8" w14:textId="77777777" w:rsidR="00D21A1D" w:rsidRPr="00B61AF2" w:rsidRDefault="00000000">
            <w:pPr>
              <w:rPr>
                <w:rFonts w:asciiTheme="minorHAnsi" w:hAnsiTheme="minorHAnsi"/>
              </w:rPr>
            </w:pPr>
            <w:r>
              <w:rPr>
                <w:rFonts w:asciiTheme="minorHAnsi" w:hAnsiTheme="minorHAnsi"/>
                <w:sz w:val="20"/>
                <w:szCs w:val="20"/>
              </w:rPr>
              <w:t>4,9 %</w:t>
            </w:r>
          </w:p>
        </w:tc>
      </w:tr>
      <w:tr w:rsidR="00D21A1D" w:rsidRPr="00B61AF2" w14:paraId="1FE61677"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F7F3EE" w14:textId="77777777" w:rsidR="00D21A1D" w:rsidRPr="00B61AF2"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855D50A" w14:textId="77777777" w:rsidR="00D21A1D" w:rsidRPr="00B61AF2"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FDAC9D6" w14:textId="77777777" w:rsidR="00D21A1D" w:rsidRPr="00B61AF2"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7DCB1E" w14:textId="77777777" w:rsidR="00D21A1D" w:rsidRPr="00B61AF2" w:rsidRDefault="00000000">
            <w:pPr>
              <w:rPr>
                <w:rFonts w:asciiTheme="minorHAnsi" w:hAnsiTheme="minorHAnsi"/>
              </w:rPr>
            </w:pPr>
            <w:r>
              <w:rPr>
                <w:rFonts w:asciiTheme="minorHAnsi" w:hAnsiTheme="minorHAnsi"/>
                <w:sz w:val="20"/>
                <w:szCs w:val="20"/>
              </w:rPr>
              <w:t>1,6 %</w:t>
            </w:r>
          </w:p>
        </w:tc>
      </w:tr>
      <w:tr w:rsidR="00D21A1D" w:rsidRPr="00B61AF2" w14:paraId="2F7A499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8A188" w14:textId="77777777" w:rsidR="00D21A1D" w:rsidRPr="00B61AF2"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9B120" w14:textId="77777777" w:rsidR="00D21A1D" w:rsidRPr="00B61AF2"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D06D8" w14:textId="77777777" w:rsidR="00D21A1D" w:rsidRPr="00B61AF2"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C6DB9" w14:textId="77777777" w:rsidR="00D21A1D" w:rsidRPr="00B61AF2" w:rsidRDefault="00000000">
            <w:pPr>
              <w:rPr>
                <w:rFonts w:asciiTheme="minorHAnsi" w:hAnsiTheme="minorHAnsi"/>
              </w:rPr>
            </w:pPr>
            <w:r>
              <w:rPr>
                <w:rFonts w:asciiTheme="minorHAnsi" w:hAnsiTheme="minorHAnsi"/>
                <w:sz w:val="20"/>
                <w:szCs w:val="20"/>
              </w:rPr>
              <w:t>4,8 %</w:t>
            </w:r>
          </w:p>
        </w:tc>
      </w:tr>
      <w:tr w:rsidR="00D21A1D" w:rsidRPr="00B61AF2" w14:paraId="7513C16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1652715" w14:textId="77777777" w:rsidR="00D21A1D" w:rsidRPr="00B61AF2"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098F738" w14:textId="77777777" w:rsidR="00D21A1D" w:rsidRPr="00B61AF2"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50E7BA" w14:textId="77777777" w:rsidR="00D21A1D" w:rsidRPr="00B61AF2"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5D69B61" w14:textId="77777777" w:rsidR="00D21A1D" w:rsidRPr="00B61AF2" w:rsidRDefault="00000000">
            <w:pPr>
              <w:rPr>
                <w:rFonts w:asciiTheme="minorHAnsi" w:hAnsiTheme="minorHAnsi"/>
              </w:rPr>
            </w:pPr>
            <w:r>
              <w:rPr>
                <w:rFonts w:asciiTheme="minorHAnsi" w:hAnsiTheme="minorHAnsi"/>
                <w:sz w:val="20"/>
                <w:szCs w:val="20"/>
              </w:rPr>
              <w:t>7,2 %</w:t>
            </w:r>
          </w:p>
        </w:tc>
      </w:tr>
      <w:tr w:rsidR="00D21A1D" w:rsidRPr="00B61AF2" w14:paraId="3143AFC7"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F5088" w14:textId="77777777" w:rsidR="00D21A1D" w:rsidRPr="00B61AF2"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1293B" w14:textId="77777777" w:rsidR="00D21A1D" w:rsidRPr="00B61AF2"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77C46" w14:textId="77777777" w:rsidR="00D21A1D" w:rsidRPr="00B61AF2"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759FA" w14:textId="77777777" w:rsidR="00D21A1D" w:rsidRPr="00B61AF2" w:rsidRDefault="00000000">
            <w:pPr>
              <w:rPr>
                <w:rFonts w:asciiTheme="minorHAnsi" w:hAnsiTheme="minorHAnsi"/>
              </w:rPr>
            </w:pPr>
            <w:r>
              <w:rPr>
                <w:rFonts w:asciiTheme="minorHAnsi" w:hAnsiTheme="minorHAnsi"/>
                <w:sz w:val="20"/>
                <w:szCs w:val="20"/>
              </w:rPr>
              <w:t>7,9 %</w:t>
            </w:r>
          </w:p>
        </w:tc>
      </w:tr>
      <w:tr w:rsidR="00D21A1D" w:rsidRPr="00B61AF2" w14:paraId="566FCDD5"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CBB249C" w14:textId="77777777" w:rsidR="00D21A1D" w:rsidRPr="00B61AF2"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783ACF" w14:textId="77777777" w:rsidR="00D21A1D" w:rsidRPr="00B61AF2"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974CB46" w14:textId="77777777" w:rsidR="00D21A1D" w:rsidRPr="00B61AF2"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0A71F7C" w14:textId="77777777" w:rsidR="00D21A1D" w:rsidRPr="00B61AF2" w:rsidRDefault="00000000">
            <w:pPr>
              <w:rPr>
                <w:rFonts w:asciiTheme="minorHAnsi" w:hAnsiTheme="minorHAnsi"/>
              </w:rPr>
            </w:pPr>
            <w:r>
              <w:rPr>
                <w:rFonts w:asciiTheme="minorHAnsi" w:hAnsiTheme="minorHAnsi"/>
                <w:sz w:val="20"/>
                <w:szCs w:val="20"/>
              </w:rPr>
              <w:t>8,0 %</w:t>
            </w:r>
          </w:p>
        </w:tc>
      </w:tr>
    </w:tbl>
    <w:p w14:paraId="1A3852E7" w14:textId="77777777" w:rsidR="00D21A1D" w:rsidRPr="00B61AF2"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7DD11851" w14:textId="77777777" w:rsidR="00E27C65" w:rsidRPr="00E27C65"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r>
      <w:r>
        <w:rPr>
          <w:rFonts w:asciiTheme="minorHAnsi" w:hAnsiTheme="minorHAnsi"/>
        </w:rPr>
        <w:lastRenderedPageBreak/>
        <w:t>calculado sobre el pool de predicciones LOPO-CV, asumiendo que el modelo captura patrones suficientemente generalizables entre pacientes.</w:t>
      </w:r>
    </w:p>
    <w:p w14:paraId="599EE8AA" w14:textId="77777777" w:rsidR="00AB2979" w:rsidRPr="00B61AF2" w:rsidRDefault="00000000">
      <w:pPr>
        <w:pStyle w:val="Ttulo2"/>
        <w:rPr>
          <w:rFonts w:asciiTheme="minorHAnsi" w:hAnsiTheme="minorHAnsi"/>
        </w:rPr>
      </w:pPr>
      <w:r>
        <w:rPr>
          <w:rFonts w:asciiTheme="minorHAnsi" w:hAnsiTheme="minorHAnsi"/>
        </w:rPr>
        <w:t>8.4  Rendimiento discriminativo</w:t>
      </w:r>
    </w:p>
    <w:p w14:paraId="4050AABC" w14:textId="2EB02AEE" w:rsidR="00111CC2" w:rsidRPr="00111CC2"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71B2B421" w14:textId="77777777" w:rsidR="00111CC2" w:rsidRPr="00B61AF2"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(NB08,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B61AF2" w14:paraId="125CC200"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FB53AEA" w14:textId="77777777" w:rsidR="00111CC2" w:rsidRPr="00B61AF2"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A216A0" w14:textId="77777777" w:rsidR="00111CC2" w:rsidRPr="00B61AF2"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4AB617" w14:textId="77777777" w:rsidR="00111CC2" w:rsidRPr="00B61AF2"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387283" w14:textId="77777777" w:rsidR="00111CC2" w:rsidRPr="00B61AF2"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8DE37B" w14:textId="77777777" w:rsidR="00111CC2" w:rsidRPr="00B61AF2" w:rsidRDefault="00111CC2" w:rsidP="00E72CB4">
            <w:pPr>
              <w:rPr>
                <w:rFonts w:asciiTheme="minorHAnsi" w:hAnsiTheme="minorHAnsi"/>
              </w:rPr>
            </w:pPr>
            <w:r>
              <w:rPr>
                <w:rFonts w:asciiTheme="minorHAnsi" w:hAnsiTheme="minorHAnsi"/>
                <w:b/>
                <w:bCs/>
                <w:sz w:val="20"/>
                <w:szCs w:val="20"/>
              </w:rPr>
              <w:t>Mejora AP s/ base</w:t>
            </w:r>
          </w:p>
        </w:tc>
      </w:tr>
      <w:tr w:rsidR="00111CC2" w:rsidRPr="00B61AF2" w14:paraId="670FCB51"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B2516" w14:textId="77777777" w:rsidR="00111CC2" w:rsidRPr="00B61AF2"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A8179" w14:textId="77777777" w:rsidR="00111CC2" w:rsidRPr="00B61AF2"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5FFE9" w14:textId="77777777" w:rsidR="00111CC2" w:rsidRPr="00B61AF2"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7585A" w14:textId="77777777" w:rsidR="00111CC2" w:rsidRPr="00B61AF2"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52BD9" w14:textId="77777777" w:rsidR="00111CC2" w:rsidRPr="00B61AF2" w:rsidRDefault="00111CC2" w:rsidP="00E72CB4">
            <w:pPr>
              <w:rPr>
                <w:rFonts w:asciiTheme="minorHAnsi" w:hAnsiTheme="minorHAnsi"/>
              </w:rPr>
            </w:pPr>
            <w:r>
              <w:rPr>
                <w:rFonts w:asciiTheme="minorHAnsi" w:hAnsiTheme="minorHAnsi"/>
                <w:sz w:val="20"/>
                <w:szCs w:val="20"/>
              </w:rPr>
              <w:t>5,4×</w:t>
            </w:r>
          </w:p>
        </w:tc>
      </w:tr>
      <w:tr w:rsidR="00111CC2" w:rsidRPr="00B61AF2" w14:paraId="71446C8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7D810" w14:textId="77777777" w:rsidR="00111CC2" w:rsidRPr="00B61AF2"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8D566" w14:textId="77777777" w:rsidR="00111CC2" w:rsidRPr="00B61AF2"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F7FFF" w14:textId="77777777" w:rsidR="00111CC2" w:rsidRPr="00B61AF2"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E4097" w14:textId="77777777" w:rsidR="00111CC2" w:rsidRPr="00B61AF2"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0AA5D" w14:textId="77777777" w:rsidR="00111CC2" w:rsidRPr="00B61AF2" w:rsidRDefault="00111CC2" w:rsidP="00E72CB4">
            <w:pPr>
              <w:rPr>
                <w:rFonts w:asciiTheme="minorHAnsi" w:hAnsiTheme="minorHAnsi"/>
              </w:rPr>
            </w:pPr>
            <w:r>
              <w:rPr>
                <w:rFonts w:asciiTheme="minorHAnsi" w:hAnsiTheme="minorHAnsi"/>
                <w:sz w:val="20"/>
                <w:szCs w:val="20"/>
              </w:rPr>
              <w:t>4,1×</w:t>
            </w:r>
          </w:p>
        </w:tc>
      </w:tr>
      <w:tr w:rsidR="00111CC2" w:rsidRPr="00B61AF2" w14:paraId="77140223"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46077" w14:textId="77777777" w:rsidR="00111CC2" w:rsidRPr="00B61AF2"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5A4F2" w14:textId="77777777" w:rsidR="00111CC2" w:rsidRPr="00B61AF2"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5D172" w14:textId="77777777" w:rsidR="00111CC2" w:rsidRPr="00B61AF2"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0F415" w14:textId="77777777" w:rsidR="00111CC2" w:rsidRPr="00B61AF2"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09229" w14:textId="77777777" w:rsidR="00111CC2" w:rsidRPr="00B61AF2" w:rsidRDefault="00111CC2" w:rsidP="00E72CB4">
            <w:pPr>
              <w:rPr>
                <w:rFonts w:asciiTheme="minorHAnsi" w:hAnsiTheme="minorHAnsi"/>
              </w:rPr>
            </w:pPr>
            <w:r>
              <w:rPr>
                <w:rFonts w:asciiTheme="minorHAnsi" w:hAnsiTheme="minorHAnsi"/>
                <w:sz w:val="20"/>
                <w:szCs w:val="20"/>
              </w:rPr>
              <w:t>2,9×</w:t>
            </w:r>
          </w:p>
        </w:tc>
      </w:tr>
      <w:tr w:rsidR="00111CC2" w:rsidRPr="00B61AF2" w14:paraId="1E6A9504"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2F159" w14:textId="77777777" w:rsidR="00111CC2" w:rsidRPr="00B61AF2"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1CE1A" w14:textId="77777777" w:rsidR="00111CC2" w:rsidRPr="00B61AF2"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CB56E" w14:textId="77777777" w:rsidR="00111CC2" w:rsidRPr="00B61AF2"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90BB6" w14:textId="77777777" w:rsidR="00111CC2" w:rsidRPr="00B61AF2"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31B4A" w14:textId="77777777" w:rsidR="00111CC2" w:rsidRPr="00B61AF2" w:rsidRDefault="00111CC2" w:rsidP="00E72CB4">
            <w:pPr>
              <w:rPr>
                <w:rFonts w:asciiTheme="minorHAnsi" w:hAnsiTheme="minorHAnsi"/>
              </w:rPr>
            </w:pPr>
            <w:r>
              <w:rPr>
                <w:rFonts w:asciiTheme="minorHAnsi" w:hAnsiTheme="minorHAnsi"/>
                <w:sz w:val="20"/>
                <w:szCs w:val="20"/>
              </w:rPr>
              <w:t>2,4×</w:t>
            </w:r>
          </w:p>
        </w:tc>
      </w:tr>
    </w:tbl>
    <w:p w14:paraId="79E37797" w14:textId="77777777" w:rsidR="00111CC2"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A9094C7" w14:textId="77777777" w:rsidR="009E28F0" w:rsidRDefault="00000000">
      <w:pPr>
        <w:spacing w:after="200" w:line="360" w:lineRule="auto"/>
        <w:jc w:val="both"/>
        <w:rPr>
          <w:rFonts w:asciiTheme="minorHAnsi" w:hAnsiTheme="minorHAnsi"/>
        </w:rPr>
      </w:pPr>
      <w:r>
        <w:rPr>
          <w:rFonts w:asciiTheme="minorHAnsi" w:hAnsiTheme="minorHAnsi"/>
        </w:rPr>
        <w:t>Las dos features más importantes en todos los horizontes son window_position (</w:t>
      </w:r>
      <w:r w:rsidRPr="009E28F0">
        <w:rPr>
          <w:rFonts w:asciiTheme="minorHAnsi" w:hAnsiTheme="minorHAnsi"/>
        </w:rPr>
        <w:t>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w:t>
      </w:r>
      <w:r w:rsidR="009E28F0">
        <w:rPr>
          <w:rFonts w:asciiTheme="minorHAnsi" w:hAnsiTheme="minorHAnsi"/>
        </w:rPr>
        <w:t xml:space="preserve">. </w:t>
      </w:r>
    </w:p>
    <w:p w14:paraId="5C0B8539" w14:textId="77777777" w:rsidR="009E28F0" w:rsidRDefault="009E28F0" w:rsidP="009E28F0">
      <w:pPr>
        <w:spacing w:before="200" w:after="60"/>
      </w:pPr>
      <w:r>
        <w:rPr>
          <w:b/>
          <w:bCs/>
          <w:sz w:val="20"/>
          <w:szCs w:val="20"/>
        </w:rPr>
        <w:t>Figura 8.3. Importancia de features LightGBM por horizonte (gain, modelo completo).</w:t>
      </w:r>
    </w:p>
    <w:p w14:paraId="4102C462" w14:textId="77777777" w:rsidR="009E28F0" w:rsidRDefault="009E28F0" w:rsidP="009E28F0">
      <w:pPr>
        <w:spacing w:after="60"/>
        <w:jc w:val="center"/>
      </w:pPr>
      <w:r>
        <w:rPr>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2234B3ED" w14:textId="77777777" w:rsidR="009E28F0" w:rsidRDefault="009E28F0" w:rsidP="009E28F0">
      <w:pPr>
        <w:spacing w:before="80" w:after="200"/>
      </w:pPr>
      <w:r>
        <w:rPr>
          <w:i/>
          <w:iCs/>
          <w:color w:val="555555"/>
          <w:sz w:val="20"/>
          <w:szCs w:val="20"/>
        </w:rPr>
        <w:t>Nota. window_position y ci_sofar dominan la importancia en todos los horizontes. El ranking de los cinco features principales no cambia entre H = 2 min y H = 15 min. Origen: NB08, modelo completo.</w:t>
      </w:r>
    </w:p>
    <w:p w14:paraId="623EECE7" w14:textId="2284116A" w:rsidR="009E28F0" w:rsidRPr="009E28F0" w:rsidRDefault="009E28F0" w:rsidP="009E28F0">
      <w:pPr>
        <w:spacing w:before="80" w:after="160"/>
      </w:pPr>
      <w:r>
        <w:rPr>
          <w:i/>
          <w:iCs/>
          <w:color w:val="555555"/>
          <w:sz w:val="20"/>
          <w:szCs w:val="20"/>
        </w:rPr>
        <w:t>► Figura complementaria en Anexo: Fig. 8.4 (AUC por paciente y horizonte).</w:t>
      </w:r>
    </w:p>
    <w:p w14:paraId="266FE474" w14:textId="49EAD7AC" w:rsidR="00AB2979" w:rsidRPr="00B61AF2" w:rsidRDefault="009E28F0">
      <w:pPr>
        <w:spacing w:after="200" w:line="360" w:lineRule="auto"/>
        <w:jc w:val="both"/>
        <w:rPr>
          <w:rFonts w:asciiTheme="minorHAnsi" w:hAnsiTheme="minorHAnsi"/>
        </w:rPr>
      </w:pPr>
      <w:r w:rsidRPr="009E28F0">
        <w:rPr>
          <w:rFonts w:asciiTheme="minorHAnsi" w:hAnsiTheme="minorHAnsi"/>
        </w:rPr>
        <w:t>El hallazgo contraintuitivo del Paciente 314 —mayor AUC (0,87) con menor prevalencia (1,6 %)— sugiere que discriminación y prevalencia podrían ser ortogonales: el sistema</w:t>
      </w:r>
      <w:r w:rsidRPr="009E28F0">
        <w:rPr>
          <w:rFonts w:asciiTheme="minorHAnsi" w:hAnsiTheme="minorHAnsi"/>
        </w:rPr>
        <w:t xml:space="preserve"> </w:t>
      </w:r>
      <w:r w:rsidRPr="009E28F0">
        <w:rPr>
          <w:rFonts w:asciiTheme="minorHAnsi" w:hAnsiTheme="minorHAnsi"/>
        </w:rPr>
        <w:t>PAC podría anticipar bien los eventos incluso en pacientes con baja frecuencia de eventos severos, cuando el estado fisiológico previo al evento es suficientemente distintivo. Este patrón merece exploración en cohortes más amplias.</w:t>
      </w:r>
    </w:p>
    <w:p w14:paraId="2D15CFC8" w14:textId="77777777" w:rsidR="00AB2979" w:rsidRPr="00B61AF2" w:rsidRDefault="00000000">
      <w:pPr>
        <w:pStyle w:val="Ttulo2"/>
        <w:rPr>
          <w:rFonts w:asciiTheme="minorHAnsi" w:hAnsiTheme="minorHAnsi"/>
        </w:rPr>
      </w:pPr>
      <w:r>
        <w:rPr>
          <w:rFonts w:asciiTheme="minorHAnsi" w:hAnsiTheme="minorHAnsi"/>
        </w:rPr>
        <w:t>8.5  Análisis operacional: horizonte óptimo y umbral de activación</w:t>
      </w:r>
    </w:p>
    <w:p w14:paraId="38D109EB" w14:textId="77777777" w:rsidR="00D21A1D" w:rsidRPr="00B61AF2" w:rsidRDefault="00000000">
      <w:pPr>
        <w:spacing w:before="200" w:after="60"/>
        <w:rPr>
          <w:rFonts w:asciiTheme="minorHAnsi" w:hAnsiTheme="minorHAnsi"/>
        </w:rPr>
      </w:pPr>
      <w:r>
        <w:rPr>
          <w:rFonts w:asciiTheme="minorHAnsi" w:hAnsiTheme="minorHAnsi"/>
          <w:b/>
          <w:bCs/>
          <w:sz w:val="20"/>
          <w:szCs w:val="20"/>
        </w:rPr>
        <w:t>Figura 8.2. Rendimiento discriminativo por horizonte: AUC y AP vs. lead time (NB08, LightGBM LOPO-CV).</w:t>
      </w:r>
    </w:p>
    <w:p w14:paraId="4676432E" w14:textId="77777777" w:rsidR="00D21A1D" w:rsidRPr="00B61AF2" w:rsidRDefault="00000000">
      <w:pPr>
        <w:spacing w:after="60"/>
        <w:jc w:val="center"/>
        <w:rPr>
          <w:rFonts w:asciiTheme="minorHAnsi" w:hAnsiTheme="minorHAnsi"/>
        </w:rPr>
      </w:pPr>
      <w:r>
        <w:rPr>
          <w:rFonts w:asciiTheme="minorHAnsi" w:hAnsiTheme="minorHAnsi"/>
          <w:noProof/>
        </w:rPr>
        <w:drawing>
          <wp:inline distT="0" distB="0" distL="0" distR="0" wp14:anchorId="584CF030" wp14:editId="1AA7379C">
            <wp:extent cx="5715000" cy="2130245"/>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8"/>
                    <a:stretch>
                      <a:fillRect/>
                    </a:stretch>
                  </pic:blipFill>
                  <pic:spPr>
                    <a:xfrm>
                      <a:off x="0" y="0"/>
                      <a:ext cx="5715000" cy="2130245"/>
                    </a:xfrm>
                    <a:prstGeom prst="rect">
                      <a:avLst/>
                    </a:prstGeom>
                  </pic:spPr>
                </pic:pic>
              </a:graphicData>
            </a:graphic>
          </wp:inline>
        </w:drawing>
      </w:r>
    </w:p>
    <w:p w14:paraId="41FC0823" w14:textId="77777777" w:rsidR="00D21A1D" w:rsidRPr="00B61AF2" w:rsidRDefault="00000000">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central: curvas ROC por horizonte (LOPO-CV, 8 pacientes).</w:t>
      </w:r>
    </w:p>
    <w:p w14:paraId="7CD10B0A" w14:textId="77777777" w:rsidR="00AB2979" w:rsidRPr="00B61AF2" w:rsidRDefault="00000000">
      <w:pPr>
        <w:spacing w:after="200" w:line="360" w:lineRule="auto"/>
        <w:jc w:val="both"/>
        <w:rPr>
          <w:rFonts w:asciiTheme="minorHAnsi" w:hAnsiTheme="minorHAnsi"/>
        </w:rPr>
      </w:pPr>
      <w:r>
        <w:rPr>
          <w:rFonts w:asciiTheme="minorHAnsi" w:hAnsiTheme="minorHAnsi"/>
        </w:rPr>
        <w:t xml:space="preserve">El horizonte H = 5 min ofrece el mejor balance entre las dimensiones relevantes para uso clínico: sensibilidad del 76 % (detecta 3 de cada 4 eventos severos próximos), especificidad del 74 % y PPV del 20 % (1 de cada 5 alarmas corresponde a un evento </w:t>
      </w:r>
      <w:r>
        <w:rPr>
          <w:rFonts w:asciiTheme="minorHAnsi" w:hAnsiTheme="minorHAnsi"/>
        </w:rPr>
        <w:lastRenderedPageBreak/>
        <w:t>real), según la Tabla 8.6. Con H = 2 min la sensibilidad sube al 82 % pero el PPV cae al 9,6 %, lo que implicaría nueve falsas alarmas por cada activación real del estimulador. Una estimación de primer orden —no una simulación validada— sugiere que con prevalencia del 8 % y especificidad del 74 %, el sistema generaría ~20 episodios-alarma por noche, de los cuales ~5 corresponderían a eventos severos reales. Esta carga de alarmas —cada una con una duración máxima equivalente al horizonte H = 5 min— es un parámetro de diseño relevante para la experiencia del paciente y para la tolerabilidad del estimulador; su impacto sobre la arquitectura del sueño constituye una variable primaria a medir en el ensayo clínico planificado en Cap09. Un aspecto epistemológico a precisar: el output de NB08 es un score de riesgo relativo —un ranking de ventanas de mayor a menor probabilidad de evento severo— y no una probabilidad clínica calibrada. La sobreestimación absoluta documentada (~4× con pesos uniformes) implica que el valor numérico del umbral de Youden no equivale a ningún porcentaje de probabilidad clínica; el umbral operacionaliza un corte en el ranking, no una estimación de frecuencia absoluta. Esta distinción es relevante para cualquier interpretación clínica de los resultados.</w:t>
      </w:r>
    </w:p>
    <w:p w14:paraId="7AA18726" w14:textId="77777777" w:rsidR="00AB2979" w:rsidRPr="00B61AF2" w:rsidRDefault="00000000">
      <w:pPr>
        <w:spacing w:before="200" w:after="60"/>
        <w:rPr>
          <w:rFonts w:asciiTheme="minorHAnsi" w:hAnsiTheme="minorHAnsi"/>
        </w:rPr>
      </w:pPr>
      <w:r>
        <w:rPr>
          <w:rFonts w:asciiTheme="minorHAnsi" w:hAnsiTheme="minorHAnsi"/>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B61AF2" w14:paraId="4485DC6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CABB10" w14:textId="77777777" w:rsidR="00AB2979" w:rsidRPr="00B61AF2"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770AD5" w14:textId="77777777" w:rsidR="00AB2979" w:rsidRPr="00B61AF2"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E78C28" w14:textId="77777777" w:rsidR="00AB2979" w:rsidRPr="00B61AF2"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F8C142" w14:textId="77777777" w:rsidR="00AB2979" w:rsidRPr="00B61AF2"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1ADBF0" w14:textId="77777777" w:rsidR="00AB2979" w:rsidRPr="00B61AF2"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7473A9" w14:textId="77777777" w:rsidR="00AB2979" w:rsidRPr="00B61AF2" w:rsidRDefault="00000000">
            <w:pPr>
              <w:rPr>
                <w:rFonts w:asciiTheme="minorHAnsi" w:hAnsiTheme="minorHAnsi"/>
              </w:rPr>
            </w:pPr>
            <w:r>
              <w:rPr>
                <w:rFonts w:asciiTheme="minorHAnsi" w:hAnsiTheme="minorHAnsi"/>
                <w:b/>
                <w:bCs/>
                <w:sz w:val="20"/>
                <w:szCs w:val="20"/>
              </w:rPr>
              <w:t>Interpretación</w:t>
            </w:r>
          </w:p>
        </w:tc>
      </w:tr>
      <w:tr w:rsidR="00AB2979" w:rsidRPr="00B61AF2" w14:paraId="4BD2F83F"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55C98" w14:textId="77777777" w:rsidR="00AB2979" w:rsidRPr="00B61AF2"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E12C0" w14:textId="77777777" w:rsidR="00AB2979" w:rsidRPr="00B61AF2"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2404B" w14:textId="77777777" w:rsidR="00AB2979" w:rsidRPr="00B61AF2"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95059" w14:textId="77777777" w:rsidR="00AB2979" w:rsidRPr="00B61AF2"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C044D" w14:textId="77777777" w:rsidR="00AB2979" w:rsidRPr="00B61AF2"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DF0FE" w14:textId="77777777" w:rsidR="00AB2979" w:rsidRPr="00B61AF2" w:rsidRDefault="00000000">
            <w:pPr>
              <w:rPr>
                <w:rFonts w:asciiTheme="minorHAnsi" w:hAnsiTheme="minorHAnsi"/>
              </w:rPr>
            </w:pPr>
            <w:r>
              <w:rPr>
                <w:rFonts w:asciiTheme="minorHAnsi" w:hAnsiTheme="minorHAnsi"/>
                <w:sz w:val="20"/>
                <w:szCs w:val="20"/>
              </w:rPr>
              <w:t>1 de cada 10 alarmas es real</w:t>
            </w:r>
          </w:p>
        </w:tc>
      </w:tr>
      <w:tr w:rsidR="00AB2979" w:rsidRPr="00B61AF2" w14:paraId="35C52FD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A56A9" w14:textId="77777777" w:rsidR="00AB2979" w:rsidRPr="00B61AF2"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B9712" w14:textId="77777777" w:rsidR="00AB2979" w:rsidRPr="00B61AF2"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F42D0" w14:textId="77777777" w:rsidR="00AB2979" w:rsidRPr="00B61AF2"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30506" w14:textId="77777777" w:rsidR="00AB2979" w:rsidRPr="00B61AF2"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47A64" w14:textId="77777777" w:rsidR="00AB2979" w:rsidRPr="00B61AF2"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8258B" w14:textId="77777777" w:rsidR="00AB2979" w:rsidRPr="00B61AF2" w:rsidRDefault="00000000">
            <w:pPr>
              <w:rPr>
                <w:rFonts w:asciiTheme="minorHAnsi" w:hAnsiTheme="minorHAnsi"/>
              </w:rPr>
            </w:pPr>
            <w:r>
              <w:rPr>
                <w:rFonts w:asciiTheme="minorHAnsi" w:hAnsiTheme="minorHAnsi"/>
                <w:sz w:val="20"/>
                <w:szCs w:val="20"/>
              </w:rPr>
              <w:t>1 de cada 5 alarmas es real</w:t>
            </w:r>
          </w:p>
        </w:tc>
      </w:tr>
      <w:tr w:rsidR="00AB2979" w:rsidRPr="00B61AF2" w14:paraId="0A3FE48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85B76" w14:textId="77777777" w:rsidR="00AB2979" w:rsidRPr="00B61AF2"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A557" w14:textId="77777777" w:rsidR="00AB2979" w:rsidRPr="00B61AF2"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8F4E4" w14:textId="77777777" w:rsidR="00AB2979" w:rsidRPr="00B61AF2"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79317" w14:textId="77777777" w:rsidR="00AB2979" w:rsidRPr="00B61AF2"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29F0A" w14:textId="77777777" w:rsidR="00AB2979" w:rsidRPr="00B61AF2"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C19A0" w14:textId="77777777" w:rsidR="00AB2979" w:rsidRPr="00B61AF2" w:rsidRDefault="00000000">
            <w:pPr>
              <w:rPr>
                <w:rFonts w:asciiTheme="minorHAnsi" w:hAnsiTheme="minorHAnsi"/>
              </w:rPr>
            </w:pPr>
            <w:r>
              <w:rPr>
                <w:rFonts w:asciiTheme="minorHAnsi" w:hAnsiTheme="minorHAnsi"/>
                <w:sz w:val="20"/>
                <w:szCs w:val="20"/>
              </w:rPr>
              <w:t>1 de cada 3 alarmas es real</w:t>
            </w:r>
          </w:p>
        </w:tc>
      </w:tr>
      <w:tr w:rsidR="00AB2979" w:rsidRPr="00B61AF2" w14:paraId="27F8881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F8508" w14:textId="77777777" w:rsidR="00AB2979" w:rsidRPr="00B61AF2"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F6A42" w14:textId="77777777" w:rsidR="00AB2979" w:rsidRPr="00B61AF2"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C4476" w14:textId="77777777" w:rsidR="00AB2979" w:rsidRPr="00B61AF2"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B3E94" w14:textId="77777777" w:rsidR="00AB2979" w:rsidRPr="00B61AF2"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C9A32" w14:textId="77777777" w:rsidR="00AB2979" w:rsidRPr="00B61AF2"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42F55" w14:textId="77777777" w:rsidR="00AB2979" w:rsidRPr="00B61AF2" w:rsidRDefault="00000000">
            <w:pPr>
              <w:rPr>
                <w:rFonts w:asciiTheme="minorHAnsi" w:hAnsiTheme="minorHAnsi"/>
              </w:rPr>
            </w:pPr>
            <w:r>
              <w:rPr>
                <w:rFonts w:asciiTheme="minorHAnsi" w:hAnsiTheme="minorHAnsi"/>
                <w:sz w:val="20"/>
                <w:szCs w:val="20"/>
              </w:rPr>
              <w:t>1 de cada 3 alarmas es real</w:t>
            </w:r>
          </w:p>
        </w:tc>
      </w:tr>
    </w:tbl>
    <w:p w14:paraId="04892396" w14:textId="77777777" w:rsidR="00AB2979" w:rsidRPr="00B61AF2"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1C26ED70" w14:textId="77777777" w:rsidR="00AB2979" w:rsidRPr="00B61AF2"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1C6FA127" w14:textId="77777777" w:rsidR="00AB2979" w:rsidRPr="00B61AF2" w:rsidRDefault="00000000">
      <w:pPr>
        <w:pStyle w:val="Ttulo2"/>
        <w:rPr>
          <w:rFonts w:asciiTheme="minorHAnsi" w:hAnsiTheme="minorHAnsi"/>
        </w:rPr>
      </w:pPr>
      <w:r>
        <w:rPr>
          <w:rFonts w:asciiTheme="minorHAnsi" w:hAnsiTheme="minorHAnsi"/>
        </w:rPr>
        <w:lastRenderedPageBreak/>
        <w:t>8.6  Implicancias para la estimulación</w:t>
      </w:r>
    </w:p>
    <w:p w14:paraId="0186293E" w14:textId="77777777" w:rsidR="00AB2979" w:rsidRPr="00B61AF2" w:rsidRDefault="00000000">
      <w:pPr>
        <w:spacing w:after="200" w:line="360" w:lineRule="auto"/>
        <w:jc w:val="both"/>
        <w:rPr>
          <w:rFonts w:asciiTheme="minorHAnsi" w:hAnsiTheme="minorHAnsi"/>
        </w:rPr>
      </w:pPr>
      <w:r>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cadena completa —predicción → decisión → actuación → efecto fisiológico— opera bajo la hipótesis de que el estímulo transcutáneo reduce la probabilidad del evento predicho; NB08 no establece ni refuta esa hipótesis: define únicamente la condición algorítmica mínima para que una intervención adaptativa sea plausible.</w:t>
      </w:r>
    </w:p>
    <w:p w14:paraId="12E8DB5C" w14:textId="77777777" w:rsidR="00AB2979" w:rsidRPr="00B61AF2" w:rsidRDefault="00000000">
      <w:pPr>
        <w:pStyle w:val="Ttulo2"/>
        <w:rPr>
          <w:rFonts w:asciiTheme="minorHAnsi" w:hAnsiTheme="minorHAnsi"/>
        </w:rPr>
      </w:pPr>
      <w:r>
        <w:rPr>
          <w:rFonts w:asciiTheme="minorHAnsi" w:hAnsiTheme="minorHAnsi"/>
        </w:rPr>
        <w:t>8.7  Limitaciones principales</w:t>
      </w:r>
    </w:p>
    <w:p w14:paraId="0A3415DE" w14:textId="77777777" w:rsidR="00AB2979" w:rsidRPr="00B61AF2" w:rsidRDefault="00000000">
      <w:pPr>
        <w:spacing w:after="200" w:line="360" w:lineRule="auto"/>
        <w:jc w:val="both"/>
        <w:rPr>
          <w:rFonts w:asciiTheme="minorHAnsi" w:hAnsiTheme="minorHAnsi"/>
        </w:rPr>
      </w:pPr>
      <w:r>
        <w:rPr>
          <w:rFonts w:asciiTheme="minorHAnsi" w:hAnsiTheme="minorHAnsi"/>
        </w:rPr>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 NB08 como prueba de factibilidad analítica, no como sistema listo para uso clínico.</w:t>
      </w:r>
    </w:p>
    <w:p w14:paraId="0B37A288" w14:textId="77777777" w:rsidR="00AB2979" w:rsidRPr="00B61AF2" w:rsidRDefault="00000000">
      <w:pPr>
        <w:pStyle w:val="Ttulo2"/>
        <w:rPr>
          <w:rFonts w:asciiTheme="minorHAnsi" w:hAnsiTheme="minorHAnsi"/>
        </w:rPr>
      </w:pPr>
      <w:r>
        <w:rPr>
          <w:rFonts w:asciiTheme="minorHAnsi" w:hAnsiTheme="minorHAnsi"/>
        </w:rPr>
        <w:t>8.8  Conclusión</w:t>
      </w:r>
    </w:p>
    <w:p w14:paraId="7062F210" w14:textId="77777777" w:rsidR="00AB2979" w:rsidRPr="00B61AF2" w:rsidRDefault="00000000">
      <w:pPr>
        <w:spacing w:after="200" w:line="360" w:lineRule="auto"/>
        <w:jc w:val="both"/>
        <w:rPr>
          <w:rFonts w:asciiTheme="minorHAnsi" w:hAnsiTheme="minorHAnsi"/>
        </w:rPr>
      </w:pPr>
      <w:r>
        <w:rPr>
          <w:rFonts w:asciiTheme="minorHAnsi" w:hAnsiTheme="minorHAnsi"/>
        </w:rPr>
        <w:t xml:space="preserve">El módulo NB08 cierra el arco analítico del Proyecto PAC. Los resultados del módulo NB08 sugieren una respuesta afirmativa con matices importantes: el sistema PAC podría anticipar un EDO severo con 5 min de antelación con AUC = 0,821 ± 0,022 y PPV = 20 % sobre una base del 8 %, en validación LOPO-CV estricta sobre 8 pacientes. Window_position y ci_sofar dominan la importancia de features —la posición en la </w:t>
      </w:r>
      <w:r>
        <w:rPr>
          <w:rFonts w:asciiTheme="minorHAnsi" w:hAnsiTheme="minorHAnsi"/>
        </w:rPr>
        <w:lastRenderedPageBreak/>
        <w:t>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14:paraId="1EED5048" w14:textId="77777777" w:rsidR="00AB2979" w:rsidRPr="00B61AF2" w:rsidRDefault="00000000">
      <w:pPr>
        <w:spacing w:after="200" w:line="360" w:lineRule="auto"/>
        <w:jc w:val="both"/>
        <w:rPr>
          <w:rFonts w:asciiTheme="minorHAnsi" w:hAnsiTheme="minorHAnsi"/>
        </w:rPr>
      </w:pPr>
      <w:r>
        <w:rPr>
          <w:rFonts w:asciiTheme="minorHAnsi" w:hAnsiTheme="minorHAnsi"/>
        </w:rPr>
        <w:t>La mayor barrera para la traslación clínica no es el rendimiento discriminativo —AUC = 0,821 es sólido para datos de oximetría domiciliaria sin PSG— sino la heterogeneidad inter-paciente en la prevalencia de eventos severos (variación 20×), que hace inviable un umbral único estático. La calibración individual del umbral es la condición necesaria para el uso clínico del módulo. Lo que NB08 establece es la factibilidad analítica de la predicción prospectiva sobre oximetría portátil domiciliaria; lo que deja pendiente —la validación del efecto terapéutico del estimulador, la calibración individual y la confirmación en cohortes externas— constituye la agenda del ensayo clínico controlado cuyo diseño se esboza en Cap09.</w:t>
      </w:r>
    </w:p>
    <w:p w14:paraId="112D8AA3" w14:textId="77777777" w:rsidR="00AB2979" w:rsidRPr="00B61AF2" w:rsidRDefault="00000000">
      <w:pPr>
        <w:spacing w:before="400"/>
        <w:rPr>
          <w:rFonts w:asciiTheme="minorHAnsi" w:hAnsiTheme="minorHAnsi"/>
        </w:rPr>
      </w:pPr>
      <w:r>
        <w:rPr>
          <w:rFonts w:asciiTheme="minorHAnsi" w:hAnsiTheme="minorHAnsi"/>
          <w:i/>
          <w:iCs/>
          <w:color w:val="444444"/>
        </w:rPr>
        <w:t>Continúa en Capítulo 9 — Discusión</w:t>
      </w:r>
    </w:p>
    <w:sectPr w:rsidR="00AB2979" w:rsidRPr="00B61AF2">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4EABB" w14:textId="77777777" w:rsidR="00EA12CF" w:rsidRDefault="00EA12CF" w:rsidP="00DC76F1">
      <w:r>
        <w:separator/>
      </w:r>
    </w:p>
  </w:endnote>
  <w:endnote w:type="continuationSeparator" w:id="0">
    <w:p w14:paraId="285706B4" w14:textId="77777777" w:rsidR="00EA12CF" w:rsidRDefault="00EA12CF"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70A3"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5B5DD87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62CB" w14:textId="77777777" w:rsidR="00EA12CF" w:rsidRDefault="00EA12CF" w:rsidP="00DC76F1">
      <w:r>
        <w:separator/>
      </w:r>
    </w:p>
  </w:footnote>
  <w:footnote w:type="continuationSeparator" w:id="0">
    <w:p w14:paraId="50BB789B" w14:textId="77777777" w:rsidR="00EA12CF" w:rsidRDefault="00EA12CF"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19A5"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3DD19D51"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111CC2"/>
    <w:rsid w:val="00116C50"/>
    <w:rsid w:val="00231D45"/>
    <w:rsid w:val="002D3C99"/>
    <w:rsid w:val="005560BB"/>
    <w:rsid w:val="00600F5D"/>
    <w:rsid w:val="006B3651"/>
    <w:rsid w:val="00712693"/>
    <w:rsid w:val="00763C12"/>
    <w:rsid w:val="00766955"/>
    <w:rsid w:val="00821236"/>
    <w:rsid w:val="00833978"/>
    <w:rsid w:val="009E28F0"/>
    <w:rsid w:val="00AB2979"/>
    <w:rsid w:val="00AF10ED"/>
    <w:rsid w:val="00B61AF2"/>
    <w:rsid w:val="00BC7402"/>
    <w:rsid w:val="00BE1140"/>
    <w:rsid w:val="00D21A1D"/>
    <w:rsid w:val="00DC76F1"/>
    <w:rsid w:val="00E27C65"/>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EDA6494"/>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2309</Words>
  <Characters>12239</Characters>
  <Application>Microsoft Office Word</Application>
  <DocSecurity>0</DocSecurity>
  <Lines>330</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15</cp:revision>
  <dcterms:created xsi:type="dcterms:W3CDTF">2026-06-02T19:06:00Z</dcterms:created>
  <dcterms:modified xsi:type="dcterms:W3CDTF">2026-06-06T18:19:00Z</dcterms:modified>
</cp:coreProperties>
</file>