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120" w:before="0"/>
      </w:pPr>
      <w:r>
        <w:rPr>
          <w:rFonts w:ascii="Arial" w:cs="Arial" w:eastAsia="Arial" w:hAnsi="Arial"/>
          <w:b/>
          <w:bCs/>
          <w:color w:val="6B7280"/>
          <w:sz w:val="20"/>
          <w:szCs w:val="20"/>
        </w:rPr>
        <w:t xml:space="preserve">CAPÍTULO 8</w:t>
      </w:r>
    </w:p>
    <w:p>
      <w:pPr>
        <w:spacing w:after="240" w:before="0"/>
      </w:pPr>
      <w:r>
        <w:rPr>
          <w:rFonts w:ascii="Arial" w:cs="Arial" w:eastAsia="Arial" w:hAnsi="Arial"/>
          <w:b/>
          <w:bCs/>
          <w:color w:val="1E3A5F"/>
          <w:sz w:val="36"/>
          <w:szCs w:val="36"/>
        </w:rPr>
        <w:t xml:space="preserve">Predicción prospectiva con horizonte temporal: el módulo NB08</w:t>
      </w:r>
    </w:p>
    <w:p>
      <w:pPr>
        <w:spacing w:after="480" w:before="0"/>
      </w:pPr>
      <w:r>
        <w:rPr>
          <w:rFonts w:ascii="Arial" w:cs="Arial" w:eastAsia="Arial" w:hAnsi="Arial"/>
          <w:color w:val="6B7280"/>
          <w:sz w:val="18"/>
          <w:szCs w:val="18"/>
        </w:rPr>
        <w:t xml:space="preserve">Versión 2  ·  Mayo 2026</w:t>
      </w:r>
    </w:p>
    <w:p>
      <w:pPr>
        <w:spacing w:after="120" w:before="0"/>
      </w:pPr>
      <w:r>
        <w:rPr>
          <w:rFonts w:ascii="Arial" w:cs="Arial" w:eastAsia="Arial" w:hAnsi="Arial"/>
          <w:b/>
          <w:bCs/>
          <w:color w:val="1E3A5F"/>
          <w:sz w:val="20"/>
          <w:szCs w:val="20"/>
        </w:rPr>
        <w:t xml:space="preserve">Contenido de este capítulo</w:t>
      </w:r>
    </w:p>
    <w:p>
      <w:pPr>
        <w:spacing w:after="80" w:before="0"/>
      </w:pPr>
      <w:r>
        <w:rPr>
          <w:rFonts w:ascii="Arial" w:cs="Arial" w:eastAsia="Arial" w:hAnsi="Arial"/>
          <w:color w:val="333333"/>
          <w:sz w:val="20"/>
          <w:szCs w:val="20"/>
        </w:rPr>
        <w:t xml:space="preserve">8.1  Formulación del problema y motivación clínica</w:t>
      </w:r>
    </w:p>
    <w:p>
      <w:pPr>
        <w:spacing w:after="80" w:before="0"/>
      </w:pPr>
      <w:r>
        <w:rPr>
          <w:rFonts w:ascii="Arial" w:cs="Arial" w:eastAsia="Arial" w:hAnsi="Arial"/>
          <w:color w:val="333333"/>
          <w:sz w:val="20"/>
          <w:szCs w:val="20"/>
        </w:rPr>
        <w:t xml:space="preserve">8.2  Diseño del análisis</w:t>
      </w:r>
    </w:p>
    <w:p>
      <w:pPr>
        <w:spacing w:after="80" w:before="0"/>
      </w:pPr>
      <w:r>
        <w:rPr>
          <w:rFonts w:ascii="Arial" w:cs="Arial" w:eastAsia="Arial" w:hAnsi="Arial"/>
          <w:color w:val="333333"/>
          <w:sz w:val="20"/>
          <w:szCs w:val="20"/>
        </w:rPr>
        <w:t xml:space="preserve">8.3  Prevalencia de los targets y heterogeneidad inter-paciente</w:t>
      </w:r>
    </w:p>
    <w:p>
      <w:pPr>
        <w:spacing w:after="80" w:before="0"/>
      </w:pPr>
      <w:r>
        <w:rPr>
          <w:rFonts w:ascii="Arial" w:cs="Arial" w:eastAsia="Arial" w:hAnsi="Arial"/>
          <w:color w:val="333333"/>
          <w:sz w:val="20"/>
          <w:szCs w:val="20"/>
        </w:rPr>
        <w:t xml:space="preserve">8.4  Rendimiento discriminativo</w:t>
      </w:r>
    </w:p>
    <w:p>
      <w:pPr>
        <w:spacing w:after="80" w:before="0"/>
      </w:pPr>
      <w:r>
        <w:rPr>
          <w:rFonts w:ascii="Arial" w:cs="Arial" w:eastAsia="Arial" w:hAnsi="Arial"/>
          <w:color w:val="333333"/>
          <w:sz w:val="20"/>
          <w:szCs w:val="20"/>
        </w:rPr>
        <w:t xml:space="preserve">8.5  Análisis operacional: horizonte óptimo y umbral de activación</w:t>
      </w:r>
    </w:p>
    <w:p>
      <w:pPr>
        <w:spacing w:after="80" w:before="0"/>
      </w:pPr>
      <w:r>
        <w:rPr>
          <w:rFonts w:ascii="Arial" w:cs="Arial" w:eastAsia="Arial" w:hAnsi="Arial"/>
          <w:color w:val="333333"/>
          <w:sz w:val="20"/>
          <w:szCs w:val="20"/>
        </w:rPr>
        <w:t xml:space="preserve">8.6  Implicancias para la estimulación eléctrica transcutánea</w:t>
      </w:r>
    </w:p>
    <w:p>
      <w:pPr>
        <w:spacing w:after="80" w:before="0"/>
      </w:pPr>
      <w:r>
        <w:rPr>
          <w:rFonts w:ascii="Arial" w:cs="Arial" w:eastAsia="Arial" w:hAnsi="Arial"/>
          <w:color w:val="333333"/>
          <w:sz w:val="20"/>
          <w:szCs w:val="20"/>
        </w:rPr>
        <w:t xml:space="preserve">8.7  Limitaciones</w:t>
      </w:r>
    </w:p>
    <w:p>
      <w:pPr>
        <w:spacing w:after="80" w:before="0"/>
      </w:pPr>
      <w:r>
        <w:rPr>
          <w:rFonts w:ascii="Arial" w:cs="Arial" w:eastAsia="Arial" w:hAnsi="Arial"/>
          <w:color w:val="333333"/>
          <w:sz w:val="20"/>
          <w:szCs w:val="20"/>
        </w:rPr>
        <w:t xml:space="preserve">8.8  Conclusión y bridge al Capítulo 9</w:t>
      </w:r>
    </w:p>
    <w:p>
      <w:pPr>
        <w:spacing w:after="80" w:before="0"/>
      </w:pPr>
      <w:r>
        <w:rPr>
          <w:rFonts w:ascii="Arial" w:cs="Arial" w:eastAsia="Arial" w:hAnsi="Arial"/>
          <w:color w:val="333333"/>
          <w:sz w:val="20"/>
          <w:szCs w:val="20"/>
        </w:rPr>
        <w:t xml:space="preserve">Referencias</w:t>
      </w:r>
    </w:p>
    <w:p>
      <w:pPr>
        <w:spacing w:after="200" w:before="0"/>
      </w:pPr>
      <w:r>
        <w:rPr>
          <w:rFonts w:ascii="Arial" w:cs="Arial" w:eastAsia="Arial" w:hAnsi="Arial"/>
        </w:rPr>
        <w:t xml:space="preserve"/>
      </w:r>
    </w:p>
    <w:p>
      <w:pPr>
        <w:spacing w:after="80" w:before="0"/>
        <w:jc w:val="center"/>
      </w:pPr>
      <w:r>
        <w:rPr>
          <w:rFonts w:ascii="Arial" w:cs="Arial" w:eastAsia="Arial" w:hAnsi="Arial"/>
          <w:i/>
          <w:iCs/>
          <w:color w:val="6B7280"/>
          <w:sz w:val="18"/>
          <w:szCs w:val="18"/>
        </w:rPr>
        <w:t xml:space="preserve">Roberto Inza · Universidad Austral · Maestría en Explotación de Datos y Gestión del Conocimiento</w:t>
      </w:r>
    </w:p>
    <w:p>
      <w:r>
        <w:br w:type="page"/>
      </w:r>
    </w:p>
    <w:p>
      <w:pPr>
        <w:spacing w:after="160" w:before="0"/>
        <w:jc w:val="both"/>
      </w:pPr>
      <w:r>
        <w:rPr>
          <w:rFonts w:ascii="Arial" w:cs="Arial" w:eastAsia="Arial" w:hAnsi="Arial"/>
          <w:sz w:val="22"/>
          <w:szCs w:val="22"/>
        </w:rPr>
        <w:t xml:space="preserve">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pPr>
        <w:spacing w:after="160" w:before="0"/>
        <w:jc w:val="both"/>
      </w:pPr>
      <w:r>
        <w:rPr>
          <w:rFonts w:ascii="Arial" w:cs="Arial" w:eastAsia="Arial" w:hAnsi="Arial"/>
          <w:sz w:val="22"/>
          <w:szCs w:val="22"/>
        </w:rPr>
        <w:t xml:space="preserve">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pPr>
        <w:spacing w:after="160" w:before="0"/>
        <w:jc w:val="both"/>
      </w:pPr>
      <w:r>
        <w:rPr>
          <w:rFonts w:ascii="Arial" w:cs="Arial" w:eastAsia="Arial" w:hAnsi="Arial"/>
          <w:sz w:val="22"/>
          <w:szCs w:val="22"/>
        </w:rPr>
        <w:t xml:space="preserve">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8.1  Formulación del problema y motivación clínica</w:t>
      </w:r>
    </w:p>
    <w:p>
      <w:pPr>
        <w:spacing w:after="160" w:before="0"/>
        <w:jc w:val="both"/>
      </w:pPr>
      <w:r>
        <w:rPr>
          <w:rFonts w:ascii="Arial" w:cs="Arial" w:eastAsia="Arial" w:hAnsi="Arial"/>
          <w:sz w:val="22"/>
          <w:szCs w:val="22"/>
        </w:rPr>
        <w:t xml:space="preserve">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pPr>
        <w:spacing w:after="160" w:before="0"/>
        <w:jc w:val="both"/>
      </w:pPr>
      <w:r>
        <w:rPr>
          <w:rFonts w:ascii="Arial" w:cs="Arial" w:eastAsia="Arial" w:hAnsi="Arial"/>
          <w:sz w:val="22"/>
          <w:szCs w:val="22"/>
        </w:rPr>
        <w:t xml:space="preserve">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8.1. </w:t>
      </w:r>
      <w:r>
        <w:rPr>
          <w:rFonts w:ascii="Arial" w:cs="Arial" w:eastAsia="Arial" w:hAnsi="Arial"/>
          <w:i/>
          <w:iCs/>
          <w:sz w:val="19"/>
          <w:szCs w:val="19"/>
        </w:rPr>
        <w:t xml:space="preserve">Comparación de diseño entre NB07 y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Aspecto</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NB07</w:t>
            </w:r>
          </w:p>
        </w:tc>
        <w:tc>
          <w:tcPr>
            <w:tcW w:type="dxa" w:w="3413"/>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NB08</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Pregunta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¿Es severo este evento en curso?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¿Habrá EDO severo en los próximos Δt min?</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Unidad de análisis</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Eventos individuales (~76.000)</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Ventanas continuas de 30 s (~453.000)</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Condición</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El evento ya ocurrió y es observable</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hay señal de evento en progreso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AUC reportada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0,905 (noche) / 0,878 (evento)</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0,821 (horizonte óptimo, 5 min)</w:t>
            </w:r>
          </w:p>
        </w:tc>
      </w:tr>
      <w:tr>
        <w:tc>
          <w:tcPr>
            <w:tcW w:type="dxa" w:w="2200"/>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Acción clínica habilitada</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Clasificar severidad real-time del evento</w:t>
            </w:r>
          </w:p>
        </w:tc>
        <w:tc>
          <w:tcPr>
            <w:tcW w:type="dxa" w:w="3413"/>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Activar estimulación preventiva antes del evento</w:t>
            </w:r>
          </w:p>
        </w:tc>
      </w:tr>
      <w:tr>
        <w:tc>
          <w:tcPr>
            <w:tcW w:type="dxa" w:w="2200"/>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Dificultad de la tarea</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Menor: el evento ya ocurrió</w:t>
            </w:r>
          </w:p>
        </w:tc>
        <w:tc>
          <w:tcPr>
            <w:tcW w:type="dxa" w:w="3413"/>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Mayor: prospectivo, sin señal de evento</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NB07 (Cap06) y NB08 (presente capítulo). La diferencia de AUC (0,905 vs. 0,821) refleja la dificultad inherente de la predicción prospectiva frente a la clasificación condicionada.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motivación clínica para NB08 es específica al dispositivo SOMNI 6000. A diferencia de los monitores de oximetría convencionales, el SOMNI 6000 integra en el mismo sensor de dedo un estimulador eléctrico transcutáneo autonómico. El mecanismo de acción buscado es la activación del sistema nervioso autónomo simpático —mediante estimulación suave en la yema del dedo— para inducir una micro-activación fisiológica que interrumpa la progresión hacia el evento severo antes de que este se complete. Este mecanismo requiere una ventana de anticipación: la respuesta autonómica al estímulo transcutáneo tiene un ramp-up fisiológico de aproximadamente 90 segundos.</w:t>
      </w:r>
    </w:p>
    <w:p>
      <w:pPr>
        <w:spacing w:after="160" w:before="0"/>
        <w:jc w:val="both"/>
      </w:pPr>
      <w:r>
        <w:rPr>
          <w:rFonts w:ascii="Arial" w:cs="Arial" w:eastAsia="Arial" w:hAnsi="Arial"/>
          <w:sz w:val="22"/>
          <w:szCs w:val="22"/>
        </w:rPr>
        <w:t xml:space="preserve">Ese requerimiento de 90 segundos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8.2  Diseño del análisis</w:t>
      </w:r>
    </w:p>
    <w:p>
      <w:pPr>
        <w:spacing w:after="160" w:before="0"/>
        <w:jc w:val="both"/>
      </w:pPr>
      <w:r>
        <w:rPr>
          <w:rFonts w:ascii="Arial" w:cs="Arial" w:eastAsia="Arial" w:hAnsi="Arial"/>
          <w:sz w:val="22"/>
          <w:szCs w:val="22"/>
        </w:rPr>
        <w:t xml:space="preserve">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pPr>
        <w:spacing w:after="80" w:before="240"/>
      </w:pPr>
      <w:r>
        <w:rPr>
          <w:rFonts w:ascii="Arial" w:cs="Arial" w:eastAsia="Arial" w:hAnsi="Arial"/>
          <w:b/>
          <w:bCs/>
          <w:color w:val="1E3A5F"/>
          <w:sz w:val="24"/>
          <w:szCs w:val="24"/>
        </w:rPr>
        <w:t xml:space="preserve">8.2.1  Construcción del corpus de ventanas</w:t>
      </w:r>
    </w:p>
    <w:p>
      <w:pPr>
        <w:spacing w:after="160" w:before="0"/>
        <w:jc w:val="both"/>
      </w:pPr>
      <w:r>
        <w:rPr>
          <w:rFonts w:ascii="Arial" w:cs="Arial" w:eastAsia="Arial" w:hAnsi="Arial"/>
          <w:sz w:val="22"/>
          <w:szCs w:val="22"/>
        </w:rPr>
        <w:t xml:space="preserve">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pPr>
        <w:spacing w:after="160" w:before="0"/>
        <w:jc w:val="both"/>
      </w:pPr>
      <w:r>
        <w:rPr>
          <w:rFonts w:ascii="Arial" w:cs="Arial" w:eastAsia="Arial" w:hAnsi="Arial"/>
          <w:sz w:val="22"/>
          <w:szCs w:val="22"/>
        </w:rPr>
        <w:t xml:space="preserve">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pPr>
        <w:spacing w:after="80" w:before="240"/>
      </w:pPr>
      <w:r>
        <w:rPr>
          <w:rFonts w:ascii="Arial" w:cs="Arial" w:eastAsia="Arial" w:hAnsi="Arial"/>
          <w:b/>
          <w:bCs/>
          <w:color w:val="1E3A5F"/>
          <w:sz w:val="24"/>
          <w:szCs w:val="24"/>
        </w:rPr>
        <w:t xml:space="preserve">8.2.2  Features del modelo</w:t>
      </w:r>
    </w:p>
    <w:p>
      <w:pPr>
        <w:spacing w:after="160" w:before="0"/>
        <w:jc w:val="both"/>
      </w:pPr>
      <w:r>
        <w:rPr>
          <w:rFonts w:ascii="Arial" w:cs="Arial" w:eastAsia="Arial" w:hAnsi="Arial"/>
          <w:sz w:val="22"/>
          <w:szCs w:val="22"/>
        </w:rPr>
        <w:t xml:space="preserve">El vector de features de cada ventana fue diseñado con el principio de causalidad estricta: ninguna feature incorpora información de instantes posteriores a t_end. Las features se organizan en cinco grupos funcionales:</w:t>
      </w:r>
    </w:p>
    <w:p>
      <w:pPr>
        <w:spacing w:after="160" w:before="0"/>
        <w:ind w:left="400"/>
        <w:jc w:val="both"/>
      </w:pPr>
      <w:r>
        <w:rPr>
          <w:rFonts w:ascii="Arial" w:cs="Arial" w:eastAsia="Arial" w:hAnsi="Arial"/>
          <w:sz w:val="22"/>
          <w:szCs w:val="22"/>
        </w:rPr>
        <w:t xml:space="preserve">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pPr>
        <w:spacing w:after="160" w:before="0"/>
        <w:ind w:left="400"/>
        <w:jc w:val="both"/>
      </w:pPr>
      <w:r>
        <w:rPr>
          <w:rFonts w:ascii="Arial" w:cs="Arial" w:eastAsia="Arial" w:hAnsi="Arial"/>
          <w:sz w:val="22"/>
          <w:szCs w:val="22"/>
        </w:rPr>
        <w:t xml:space="preserve">Posición temporal: fracción de la noche transcurrida al cierre de la ventana (0 a 1). Esta feature captura la tendencia de mayor concentración de eventos severos en las últimas horas del registro para ciertos perfiles de paciente.</w:t>
      </w:r>
    </w:p>
    <w:p>
      <w:pPr>
        <w:spacing w:after="160" w:before="0"/>
        <w:ind w:left="400"/>
        <w:jc w:val="both"/>
      </w:pPr>
      <w:r>
        <w:rPr>
          <w:rFonts w:ascii="Arial" w:cs="Arial" w:eastAsia="Arial" w:hAnsi="Arial"/>
          <w:sz w:val="22"/>
          <w:szCs w:val="22"/>
        </w:rPr>
        <w:t xml:space="preserve">Historial reciente de eventos: número de EDOs totales y severos (C4+C5) en los últimos 5 y 10 min. El conteo de eventos severos recientes es el predictor de mayor ganancia en los modelos de NB07 (Bloque B), y se espera que conserve ese poder en NB08 para horizontes cortos.</w:t>
      </w:r>
    </w:p>
    <w:p>
      <w:pPr>
        <w:spacing w:after="160" w:before="0"/>
        <w:ind w:left="400"/>
        <w:jc w:val="both"/>
      </w:pPr>
      <w:r>
        <w:rPr>
          <w:rFonts w:ascii="Arial" w:cs="Arial" w:eastAsia="Arial" w:hAnsi="Arial"/>
          <w:sz w:val="22"/>
          <w:szCs w:val="22"/>
        </w:rPr>
        <w:t xml:space="preserve">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pPr>
        <w:spacing w:after="160" w:before="0"/>
        <w:ind w:left="400"/>
        <w:jc w:val="both"/>
      </w:pPr>
      <w:r>
        <w:rPr>
          <w:rFonts w:ascii="Arial" w:cs="Arial" w:eastAsia="Arial" w:hAnsi="Arial"/>
          <w:sz w:val="22"/>
          <w:szCs w:val="22"/>
        </w:rPr>
        <w:t xml:space="preserve">Historial temporal y acumulado: tiempo desde el último EDO y desde el último EDO severo; coupling index acumulado (ci_sofar) y conteo acumulado de C4+C5 en la noche (n_severe_sofar).</w:t>
      </w:r>
    </w:p>
    <w:p>
      <w:pPr>
        <w:spacing w:after="80" w:before="240"/>
      </w:pPr>
      <w:r>
        <w:rPr>
          <w:rFonts w:ascii="Arial" w:cs="Arial" w:eastAsia="Arial" w:hAnsi="Arial"/>
          <w:b/>
          <w:bCs/>
          <w:color w:val="1E3A5F"/>
          <w:sz w:val="24"/>
          <w:szCs w:val="24"/>
        </w:rPr>
        <w:t xml:space="preserve">8.2.3  Modelos y validación</w:t>
      </w:r>
    </w:p>
    <w:p>
      <w:pPr>
        <w:spacing w:after="160" w:before="0"/>
        <w:jc w:val="both"/>
      </w:pPr>
      <w:r>
        <w:rPr>
          <w:rFonts w:ascii="Arial" w:cs="Arial" w:eastAsia="Arial" w:hAnsi="Arial"/>
          <w:sz w:val="22"/>
          <w:szCs w:val="22"/>
        </w:rPr>
        <w:t xml:space="preserve">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Las métricas reportadas son: AUC-ROC (discriminación global), Average Precision (AP) y Sensibilidad, Especificidad y Precisión (PPV) en el umbral de Youden óptimo.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8.3  Prevalencia de los targets y heterogeneidad inter-paciente</w:t>
      </w:r>
    </w:p>
    <w:p>
      <w:pPr>
        <w:spacing w:after="160" w:before="0"/>
        <w:jc w:val="both"/>
      </w:pPr>
      <w:r>
        <w:rPr>
          <w:rFonts w:ascii="Arial" w:cs="Arial" w:eastAsia="Arial" w:hAnsi="Arial"/>
          <w:sz w:val="22"/>
          <w:szCs w:val="22"/>
        </w:rPr>
        <w:t xml:space="preserve">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8.2. </w:t>
      </w:r>
      <w:r>
        <w:rPr>
          <w:rFonts w:ascii="Arial" w:cs="Arial" w:eastAsia="Arial" w:hAnsi="Arial"/>
          <w:i/>
          <w:iCs/>
          <w:sz w:val="19"/>
          <w:szCs w:val="19"/>
        </w:rPr>
        <w:t xml:space="preserve">Prevalencia de la clase positiva por horizonte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 Δt</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Total ventanas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16.951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3,74 %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36.438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8,04 %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62.853</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13,88 %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85.583</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452.955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18,89 %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El horizonte de 5 min (fila resaltada) constituye el punto operacional óptimo descrito en §8.5. La prevalencia aumenta con el horizonte por la definición acumulativa del target, no por mayor ocurrencia de eventos.</w:t>
      </w:r>
    </w:p>
    <w:p>
      <w:pPr>
        <w:spacing w:after="160" w:before="0"/>
      </w:pPr>
      <w:r>
        <w:rPr>
          <w:rFonts w:ascii="Arial" w:cs="Arial" w:eastAsia="Arial" w:hAnsi="Arial"/>
        </w:rPr>
        <w:t xml:space="preserve"/>
      </w:r>
    </w:p>
    <w:p>
      <w:pPr>
        <w:spacing w:after="80" w:before="120"/>
        <w:jc w:val="center"/>
      </w:pPr>
      <w:r>
        <w:drawing>
          <wp:inline distT="0" distB="0" distL="0" distR="0">
            <wp:extent cx="5905500" cy="2266950"/>
            <wp:effectExtent t="0" r="0" b="0" l="0"/>
            <wp:docPr id="1"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8.1. </w:t>
      </w:r>
      <w:r>
        <w:rPr>
          <w:rFonts w:ascii="Arial" w:cs="Arial" w:eastAsia="Arial" w:hAnsi="Arial"/>
          <w:i/>
          <w:iCs/>
          <w:sz w:val="19"/>
          <w:szCs w:val="19"/>
        </w:rPr>
        <w:t xml:space="preserve">Dataset de ventanas: características del corpus (NB08). </w:t>
      </w:r>
      <w:r>
        <w:rPr>
          <w:rFonts w:ascii="Arial" w:cs="Arial" w:eastAsia="Arial" w:hAnsi="Arial"/>
          <w:sz w:val="19"/>
          <w:szCs w:val="19"/>
        </w:rPr>
        <w:t xml:space="preserve">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heterogeneidad inter-paciente en la prevalencia del target (horizonte 5 min) es el fenómeno más relevante del corpus para el diseño de un sistema de activación clínico. La Tabla 8.3 muestra la prevalencia individual para los 8 pacientes de la cohorte estricta.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8.3. </w:t>
      </w:r>
      <w:r>
        <w:rPr>
          <w:rFonts w:ascii="Arial" w:cs="Arial" w:eastAsia="Arial" w:hAnsi="Arial"/>
          <w:i/>
          <w:iCs/>
          <w:sz w:val="19"/>
          <w:szCs w:val="19"/>
        </w:rPr>
        <w:t xml:space="preserve">Prevalencia de la clase positiva (Δt = 5 min) por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Paciente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totales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Ventanas positivas</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Prevalencia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175</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21.271</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8B0000"/>
                <w:sz w:val="19"/>
                <w:szCs w:val="19"/>
              </w:rPr>
              <w:t xml:space="preserve">32,1 %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240</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19.205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2.368</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12,3 %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309</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53.138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2.596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314</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7.561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119</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1,6 %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321</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80.438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3.898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4,8 %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336</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115.701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8.275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7,2 %</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656</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90.886</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7.165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7,9 %</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683</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64.755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5.181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8,0 %</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8.4  Rendimiento discriminativo</w:t>
      </w:r>
    </w:p>
    <w:p>
      <w:pPr>
        <w:spacing w:after="160" w:before="0"/>
        <w:jc w:val="both"/>
      </w:pPr>
      <w:r>
        <w:rPr>
          <w:rFonts w:ascii="Arial" w:cs="Arial" w:eastAsia="Arial" w:hAnsi="Arial"/>
          <w:sz w:val="22"/>
          <w:szCs w:val="22"/>
        </w:rPr>
        <w:t xml:space="preserve">La Tabla 8.4 presenta el rendimiento discriminativo de ambos modelos en validación LOPO-CV para los cuatro horizontes evaluados. Los valores corresponden a promedios globales calculados sobre el conjunto completo de predicciones fuera de muestra.</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8.4. </w:t>
      </w:r>
      <w:r>
        <w:rPr>
          <w:rFonts w:ascii="Arial" w:cs="Arial" w:eastAsia="Arial" w:hAnsi="Arial"/>
          <w:i/>
          <w:iCs/>
          <w:sz w:val="19"/>
          <w:szCs w:val="19"/>
        </w:rPr>
        <w:t xml:space="preserve">AUC-ROC y Average Precision por horizonte y modelo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Logística</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LightGBM</w:t>
            </w:r>
          </w:p>
        </w:tc>
        <w:tc>
          <w:tcPr>
            <w:tcW w:type="dxa" w:w="18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AP LightGBM</w:t>
            </w:r>
          </w:p>
        </w:tc>
        <w:tc>
          <w:tcPr>
            <w:tcW w:type="dxa" w:w="180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Mejora AP s/ base</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0,789</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0,203</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5,4×</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0,774</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0,326</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4,1×</w:t>
            </w:r>
          </w:p>
        </w:tc>
      </w:tr>
      <w:tr>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0,760</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0,783</w:t>
            </w:r>
          </w:p>
        </w:tc>
        <w:tc>
          <w:tcPr>
            <w:tcW w:type="dxa" w:w="18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0,396</w:t>
            </w:r>
          </w:p>
        </w:tc>
        <w:tc>
          <w:tcPr>
            <w:tcW w:type="dxa" w:w="180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w:t>
            </w:r>
          </w:p>
        </w:tc>
      </w:tr>
      <w:tr>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0,750</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0,763</w:t>
            </w:r>
          </w:p>
        </w:tc>
        <w:tc>
          <w:tcPr>
            <w:tcW w:type="dxa" w:w="18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0,449</w:t>
            </w:r>
          </w:p>
        </w:tc>
        <w:tc>
          <w:tcPr>
            <w:tcW w:type="dxa" w:w="180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Origen: NB08, LOPO-CV estricto. n = 452.955 ventanas, 8 pacientes. La mejora de AP sobre baseline se calcula como AP LightGBM / prevalencia del horizonte.</w:t>
      </w:r>
    </w:p>
    <w:p>
      <w:pPr>
        <w:spacing w:after="160" w:before="0"/>
      </w:pPr>
      <w:r>
        <w:rPr>
          <w:rFonts w:ascii="Arial" w:cs="Arial" w:eastAsia="Arial" w:hAnsi="Arial"/>
        </w:rPr>
        <w:t xml:space="preserve"/>
      </w:r>
    </w:p>
    <w:p>
      <w:pPr>
        <w:spacing w:after="80" w:before="120"/>
        <w:jc w:val="center"/>
      </w:pPr>
      <w:r>
        <w:drawing>
          <wp:inline distT="0" distB="0" distL="0" distR="0">
            <wp:extent cx="5905500" cy="2200275"/>
            <wp:effectExtent t="0" r="0" b="0" l="0"/>
            <wp:docPr id="1"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002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8.2. </w:t>
      </w:r>
      <w:r>
        <w:rPr>
          <w:rFonts w:ascii="Arial" w:cs="Arial" w:eastAsia="Arial" w:hAnsi="Arial"/>
          <w:i/>
          <w:iCs/>
          <w:sz w:val="19"/>
          <w:szCs w:val="19"/>
        </w:rPr>
        <w:t xml:space="preserve">Rendimiento discriminativo por horizonte (NB08, LightGBM LOPO-CV). </w:t>
      </w:r>
      <w:r>
        <w:rPr>
          <w:rFonts w:ascii="Arial" w:cs="Arial" w:eastAsia="Arial" w:hAnsi="Arial"/>
          <w:sz w:val="19"/>
          <w:szCs w:val="19"/>
        </w:rPr>
        <w:t xml:space="preserve">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pPr>
        <w:spacing w:after="160" w:before="0"/>
        <w:jc w:val="both"/>
      </w:pPr>
      <w:r>
        <w:rPr>
          <w:rFonts w:ascii="Arial" w:cs="Arial" w:eastAsia="Arial" w:hAnsi="Arial"/>
          <w:sz w:val="22"/>
          <w:szCs w:val="22"/>
        </w:rPr>
        <w:t xml:space="preserve">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pPr>
        <w:spacing w:after="80" w:before="240"/>
      </w:pPr>
      <w:r>
        <w:rPr>
          <w:rFonts w:ascii="Arial" w:cs="Arial" w:eastAsia="Arial" w:hAnsi="Arial"/>
          <w:b/>
          <w:bCs/>
          <w:color w:val="1E3A5F"/>
          <w:sz w:val="24"/>
          <w:szCs w:val="24"/>
        </w:rPr>
        <w:t xml:space="preserve">8.4.3  Importancia de features: qué informa al modelo</w:t>
      </w:r>
    </w:p>
    <w:p>
      <w:pPr>
        <w:spacing w:after="160" w:before="0"/>
        <w:jc w:val="both"/>
      </w:pPr>
      <w:r>
        <w:rPr>
          <w:rFonts w:ascii="Arial" w:cs="Arial" w:eastAsia="Arial" w:hAnsi="Arial"/>
          <w:sz w:val="22"/>
          <w:szCs w:val="22"/>
        </w:rPr>
        <w:t xml:space="preserve">La Figura 8.3 muestra la importancia de features por horizonte (gain del modelo LightGBM entrenado sobre el corpus completo, no LOPO-CV). Los resultados revelan una jerarquía consistente con una narrativa fisiológica coherente.</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8.3. </w:t>
      </w:r>
      <w:r>
        <w:rPr>
          <w:rFonts w:ascii="Arial" w:cs="Arial" w:eastAsia="Arial" w:hAnsi="Arial"/>
          <w:i/>
          <w:iCs/>
          <w:sz w:val="19"/>
          <w:szCs w:val="19"/>
        </w:rPr>
        <w:t xml:space="preserve">Importancia de features LightGBM por horizonte (gain, modelo completo). </w:t>
      </w:r>
      <w:r>
        <w:rPr>
          <w:rFonts w:ascii="Arial" w:cs="Arial" w:eastAsia="Arial" w:hAnsi="Arial"/>
          <w:sz w:val="19"/>
          <w:szCs w:val="19"/>
        </w:rPr>
        <w:t xml:space="preserve">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pPr>
        <w:spacing w:after="160" w:before="0"/>
        <w:jc w:val="both"/>
      </w:pPr>
      <w:r>
        <w:rPr>
          <w:rFonts w:ascii="Arial" w:cs="Arial" w:eastAsia="Arial" w:hAnsi="Arial"/>
          <w:sz w:val="22"/>
          <w:szCs w:val="22"/>
        </w:rP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pPr>
        <w:spacing w:after="160" w:before="0"/>
        <w:jc w:val="both"/>
      </w:pPr>
      <w:r>
        <w:rPr>
          <w:rFonts w:ascii="Arial" w:cs="Arial" w:eastAsia="Arial" w:hAnsi="Arial"/>
          <w:sz w:val="22"/>
          <w:szCs w:val="22"/>
        </w:rPr>
        <w:t xml:space="preserve">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pPr>
        <w:spacing w:after="80" w:before="240"/>
      </w:pPr>
      <w:r>
        <w:rPr>
          <w:rFonts w:ascii="Arial" w:cs="Arial" w:eastAsia="Arial" w:hAnsi="Arial"/>
          <w:b/>
          <w:bCs/>
          <w:color w:val="1E3A5F"/>
          <w:sz w:val="24"/>
          <w:szCs w:val="24"/>
        </w:rPr>
        <w:t xml:space="preserve">8.4.4  Estabilidad inter-paciente: AUC por fold LOPO-CV</w:t>
      </w:r>
    </w:p>
    <w:p>
      <w:pPr>
        <w:spacing w:after="160" w:before="0"/>
        <w:jc w:val="both"/>
      </w:pPr>
      <w:r>
        <w:rPr>
          <w:rFonts w:ascii="Arial" w:cs="Arial" w:eastAsia="Arial" w:hAnsi="Arial"/>
          <w:sz w:val="22"/>
          <w:szCs w:val="22"/>
        </w:rPr>
        <w:t xml:space="preserve">La Tabla 8.5 y la Figura 8.4 muestran la estabilidad del AUC en los ocho folds del LOPO-CV para LightGBM.</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8.5. </w:t>
      </w:r>
      <w:r>
        <w:rPr>
          <w:rFonts w:ascii="Arial" w:cs="Arial" w:eastAsia="Arial" w:hAnsi="Arial"/>
          <w:i/>
          <w:iCs/>
          <w:sz w:val="19"/>
          <w:szCs w:val="19"/>
        </w:rPr>
        <w:t xml:space="preserve">Estabilidad inter-fold del AUC de LightGBM en LOPO-CV (NB08).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2256"/>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AUC medio</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Desv. estándar (±)</w:t>
            </w:r>
          </w:p>
        </w:tc>
        <w:tc>
          <w:tcPr>
            <w:tcW w:type="dxa" w:w="2257"/>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Rango observado</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0,838</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0,80 – 0,87</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0,821</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0,79 – 0,86</w:t>
            </w:r>
          </w:p>
        </w:tc>
      </w:tr>
      <w:tr>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2256"/>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bCs/>
                <w:color w:val="000000"/>
                <w:sz w:val="19"/>
                <w:szCs w:val="19"/>
              </w:rPr>
              <w:t xml:space="preserve">0,785</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0,029</w:t>
            </w:r>
          </w:p>
        </w:tc>
        <w:tc>
          <w:tcPr>
            <w:tcW w:type="dxa" w:w="2257"/>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0,75 – 0,85</w:t>
            </w:r>
          </w:p>
        </w:tc>
      </w:tr>
      <w:tr>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2256"/>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0,765</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 0,032</w:t>
            </w:r>
          </w:p>
        </w:tc>
        <w:tc>
          <w:tcPr>
            <w:tcW w:type="dxa" w:w="2257"/>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0,73 – 0,84</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La desviación estándar menor a 3 puntos en todos los horizontes indica que el modelo generaliza de forma consistente entre los 8 pacientes de la cohorte, a pesar de las diferencias de 20× en prevalencia inter-paciente (§8.3).</w:t>
      </w:r>
    </w:p>
    <w:p>
      <w:pPr>
        <w:spacing w:after="160" w:before="0"/>
      </w:pPr>
      <w:r>
        <w:rPr>
          <w:rFonts w:ascii="Arial" w:cs="Arial" w:eastAsia="Arial" w:hAnsi="Arial"/>
        </w:rPr>
        <w:t xml:space="preserve"/>
      </w:r>
    </w:p>
    <w:p>
      <w:pPr>
        <w:spacing w:after="80" w:before="120"/>
        <w:jc w:val="center"/>
      </w:pPr>
      <w:r>
        <w:drawing>
          <wp:inline distT="0" distB="0" distL="0" distR="0">
            <wp:extent cx="3810000" cy="2657475"/>
            <wp:effectExtent t="0" r="0" b="0" l="0"/>
            <wp:docPr id="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574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8.4. </w:t>
      </w:r>
      <w:r>
        <w:rPr>
          <w:rFonts w:ascii="Arial" w:cs="Arial" w:eastAsia="Arial" w:hAnsi="Arial"/>
          <w:i/>
          <w:iCs/>
          <w:sz w:val="19"/>
          <w:szCs w:val="19"/>
        </w:rPr>
        <w:t xml:space="preserve">AUC por paciente y horizonte (LOPO-CV, LightGBM). </w:t>
      </w:r>
      <w:r>
        <w:rPr>
          <w:rFonts w:ascii="Arial" w:cs="Arial" w:eastAsia="Arial" w:hAnsi="Arial"/>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(0,86 a 2 min), lo que confirma que el modelo captura señal fisiológica genuina independientemente de la distribución de clase.</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pPr>
        <w:spacing w:after="160" w:before="0"/>
        <w:jc w:val="both"/>
      </w:pPr>
      <w:r>
        <w:rPr>
          <w:rFonts w:ascii="Arial" w:cs="Arial" w:eastAsia="Arial" w:hAnsi="Arial"/>
          <w:sz w:val="22"/>
          <w:szCs w:val="22"/>
        </w:rPr>
        <w:t xml:space="preserve">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8.5  Análisis operacional: horizonte óptimo y umbral de activación</w:t>
      </w:r>
    </w:p>
    <w:p>
      <w:pPr>
        <w:spacing w:after="160" w:before="0"/>
        <w:jc w:val="both"/>
      </w:pPr>
      <w:r>
        <w:rPr>
          <w:rFonts w:ascii="Arial" w:cs="Arial" w:eastAsia="Arial" w:hAnsi="Arial"/>
          <w:sz w:val="22"/>
          <w:szCs w:val="22"/>
        </w:rPr>
        <w:t xml:space="preserve">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pPr>
        <w:spacing w:after="80" w:before="0"/>
      </w:pPr>
      <w:r>
        <w:rPr>
          <w:rFonts w:ascii="Arial" w:cs="Arial" w:eastAsia="Arial" w:hAnsi="Arial"/>
        </w:rPr>
        <w:t xml:space="preserve"/>
      </w:r>
    </w:p>
    <w:p>
      <w:pPr>
        <w:spacing w:after="80" w:before="240"/>
      </w:pPr>
      <w:r>
        <w:rPr>
          <w:rFonts w:ascii="Arial" w:cs="Arial" w:eastAsia="Arial" w:hAnsi="Arial"/>
          <w:b/>
          <w:bCs/>
          <w:sz w:val="19"/>
          <w:szCs w:val="19"/>
        </w:rPr>
        <w:t xml:space="preserve">Tabla 8.6. </w:t>
      </w:r>
      <w:r>
        <w:rPr>
          <w:rFonts w:ascii="Arial" w:cs="Arial" w:eastAsia="Arial" w:hAnsi="Arial"/>
          <w:i/>
          <w:iCs/>
          <w:sz w:val="19"/>
          <w:szCs w:val="19"/>
        </w:rPr>
        <w:t xml:space="preserve">Métricas operacionales en el umbral de Youden óptimo por horizonte (LightGBM, LOPO-CV).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5"/>
        <w:gridCol w:w="1504"/>
        <w:gridCol w:w="1504"/>
        <w:gridCol w:w="1504"/>
        <w:gridCol w:w="1504"/>
        <w:gridCol w:w="1505"/>
      </w:tblGrid>
      <w:tr>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Horizonte</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Umbral Youden</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Sensibilidad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Especificidad</w:t>
            </w:r>
          </w:p>
        </w:tc>
        <w:tc>
          <w:tcPr>
            <w:tcW w:type="dxa" w:w="1504"/>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Precisión (PPV)</w:t>
            </w:r>
          </w:p>
        </w:tc>
        <w:tc>
          <w:tcPr>
            <w:tcW w:type="dxa" w:w="1505"/>
            <w:tcBorders>
              <w:top w:val="single" w:color="D0D8E4" w:sz="4"/>
              <w:left w:val="single" w:color="D0D8E4" w:sz="4"/>
              <w:bottom w:val="single" w:color="D0D8E4" w:sz="4"/>
              <w:right w:val="single" w:color="D0D8E4" w:sz="4"/>
            </w:tcBorders>
            <w:shd w:fill="E8EEF5" w:val="clear"/>
            <w:tcMar>
              <w:top w:type="dxa" w:w="80"/>
              <w:left w:type="dxa" w:w="120"/>
              <w:bottom w:type="dxa" w:w="80"/>
              <w:right w:type="dxa" w:w="120"/>
            </w:tcMar>
          </w:tcPr>
          <w:p>
            <w:pPr>
              <w:jc w:val="center"/>
            </w:pPr>
            <w:r>
              <w:rPr>
                <w:rFonts w:ascii="Arial" w:cs="Arial" w:eastAsia="Arial" w:hAnsi="Arial"/>
                <w:b/>
                <w:bCs/>
                <w:color w:val="1E3A5F"/>
                <w:sz w:val="19"/>
                <w:szCs w:val="19"/>
              </w:rPr>
              <w:t xml:space="preserve">Interpretación</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0,393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0,82</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0,70</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9,6 %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10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0,459</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0,76</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bCs/>
                <w:color w:val="000000"/>
                <w:sz w:val="19"/>
                <w:szCs w:val="19"/>
              </w:rPr>
              <w:t xml:space="preserve">20,1 %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5 alarmas es real</w:t>
            </w:r>
          </w:p>
        </w:tc>
      </w:tr>
      <w:tr>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 min</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0,473</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0,69</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0,74</w:t>
            </w:r>
          </w:p>
        </w:tc>
        <w:tc>
          <w:tcPr>
            <w:tcW w:type="dxa" w:w="1504"/>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29,8 %</w:t>
            </w:r>
          </w:p>
        </w:tc>
        <w:tc>
          <w:tcPr>
            <w:tcW w:type="dxa" w:w="1505"/>
            <w:tcBorders>
              <w:top w:val="single" w:color="D0D8E4" w:sz="4"/>
              <w:left w:val="single" w:color="D0D8E4" w:sz="4"/>
              <w:bottom w:val="single" w:color="D0D8E4" w:sz="4"/>
              <w:right w:val="single" w:color="D0D8E4" w:sz="4"/>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r>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15 min</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0,465</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0,68</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0,71</w:t>
            </w:r>
          </w:p>
        </w:tc>
        <w:tc>
          <w:tcPr>
            <w:tcW w:type="dxa" w:w="1504"/>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35,4 %</w:t>
            </w:r>
          </w:p>
        </w:tc>
        <w:tc>
          <w:tcPr>
            <w:tcW w:type="dxa" w:w="1505"/>
            <w:tcBorders>
              <w:top w:val="single" w:color="D0D8E4" w:sz="4"/>
              <w:left w:val="single" w:color="D0D8E4" w:sz="4"/>
              <w:bottom w:val="single" w:color="D0D8E4" w:sz="4"/>
              <w:right w:val="single" w:color="D0D8E4" w:sz="4"/>
            </w:tcBorders>
            <w:shd w:fill="F5F8FC"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 de cada 3 alarmas es real</w:t>
            </w:r>
          </w:p>
        </w:tc>
      </w:tr>
    </w:tbl>
    <w:p>
      <w:pPr>
        <w:spacing w:after="240" w:before="40"/>
        <w:jc w:val="both"/>
      </w:pPr>
      <w:r>
        <w:rPr>
          <w:rFonts w:ascii="Arial" w:cs="Arial" w:eastAsia="Arial" w:hAnsi="Arial"/>
          <w:i/>
          <w:iCs/>
          <w:sz w:val="18"/>
          <w:szCs w:val="18"/>
        </w:rPr>
        <w:t xml:space="preserve">Nota. </w:t>
      </w:r>
      <w:r>
        <w:rPr>
          <w:rFonts w:ascii="Arial" w:cs="Arial" w:eastAsia="Arial" w:hAnsi="Arial"/>
          <w:sz w:val="18"/>
          <w:szCs w:val="18"/>
        </w:rPr>
        <w:t xml:space="preserve">Umbral de Youden: maximiza Sensibilidad + Especificidad − 1 sobre el conjunto de validación LOPO-CV. PPV = Valor Predictivo Positivo (precisión). Origen: NB08, LightGBM.</w:t>
      </w:r>
    </w:p>
    <w:p>
      <w:pPr>
        <w:spacing w:after="160" w:before="0"/>
      </w:pPr>
      <w:r>
        <w:rPr>
          <w:rFonts w:ascii="Arial" w:cs="Arial" w:eastAsia="Arial" w:hAnsi="Arial"/>
        </w:rPr>
        <w:t xml:space="preserve"/>
      </w:r>
    </w:p>
    <w:p>
      <w:pPr>
        <w:spacing w:after="80" w:before="120"/>
        <w:jc w:val="center"/>
      </w:pPr>
      <w:r>
        <w:drawing>
          <wp:inline distT="0" distB="0" distL="0" distR="0">
            <wp:extent cx="5905500" cy="1628775"/>
            <wp:effectExtent t="0" r="0" b="0" l="0"/>
            <wp:docPr id="1"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2877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8.5. </w:t>
      </w:r>
      <w:r>
        <w:rPr>
          <w:rFonts w:ascii="Arial" w:cs="Arial" w:eastAsia="Arial" w:hAnsi="Arial"/>
          <w:i/>
          <w:iCs/>
          <w:sz w:val="19"/>
          <w:szCs w:val="19"/>
        </w:rPr>
        <w:t xml:space="preserve">Análisis operacional: umbral clínico por horizonte (LightGBM, LOPO-CV). </w:t>
      </w:r>
      <w:r>
        <w:rPr>
          <w:rFonts w:ascii="Arial" w:cs="Arial" w:eastAsia="Arial" w:hAnsi="Arial"/>
          <w:sz w:val="19"/>
          <w:szCs w:val="19"/>
        </w:rPr>
        <w:t xml:space="preserve">Curvas de sensibilidad (línea sólida) y especificidad (línea discontinua) en función del umbral de probabilidad para cada horizonte. La línea punteada vertical señala el umbral de Youden óptimo. Para H = 5 min: umbral = 0,46, S = 0,75,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pPr>
        <w:spacing w:after="160" w:before="0"/>
        <w:jc w:val="both"/>
      </w:pPr>
      <w:r>
        <w:rPr>
          <w:rFonts w:ascii="Arial" w:cs="Arial" w:eastAsia="Arial" w:hAnsi="Arial"/>
          <w:sz w:val="22"/>
          <w:szCs w:val="22"/>
        </w:rPr>
        <w:t xml:space="preserve">Con horizonte H = 2 min, la sensibilidad es mayor (82 %) pero el PPV es del 10 %: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pPr>
        <w:spacing w:after="160" w:before="0"/>
        <w:jc w:val="both"/>
      </w:pPr>
      <w:r>
        <w:rPr>
          <w:rFonts w:ascii="Arial" w:cs="Arial" w:eastAsia="Arial" w:hAnsi="Arial"/>
          <w:sz w:val="22"/>
          <w:szCs w:val="22"/>
        </w:rPr>
        <w:t xml:space="preserve">Una estimación de la carga operacional de falsas alarmas con H = 5 min: con prevalencia del 8 % y especificidad del 74 %, el 26 % de las ventanas negativas activarían una alarma. En una noche de ~840 ventanas S con ~92 % de ventanas negativas, esto equivale a ~200 alarmas individuales por noche en el peor caso con umbral fijo. En la práctica, alarmas consecutivas dentro de un mismo episodio fisiológico se fusionarían en una única activación del estimulador, reduciendo sensiblemente la carga efectiva.</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8.6  Implicancias para la estimulación eléctrica transcutánea</w:t>
      </w:r>
    </w:p>
    <w:p>
      <w:pPr>
        <w:spacing w:after="160" w:before="0"/>
        <w:jc w:val="both"/>
      </w:pPr>
      <w:r>
        <w:rPr>
          <w:rFonts w:ascii="Arial" w:cs="Arial" w:eastAsia="Arial" w:hAnsi="Arial"/>
          <w:sz w:val="22"/>
          <w:szCs w:val="22"/>
        </w:rPr>
        <w:t xml:space="preserve">El módulo NB08 fue diseñado con un fin clínico específico: habilitar la activación adaptativa del estimulador eléctrico transcutáneo del SOMNI 6000 antes de que un evento severo comience. Esta sección discute las implicancias del análisis para ese objetivo.</w:t>
      </w:r>
    </w:p>
    <w:p>
      <w:pPr>
        <w:spacing w:after="80" w:before="240"/>
      </w:pPr>
      <w:r>
        <w:rPr>
          <w:rFonts w:ascii="Arial" w:cs="Arial" w:eastAsia="Arial" w:hAnsi="Arial"/>
          <w:b/>
          <w:bCs/>
          <w:color w:val="1E3A5F"/>
          <w:sz w:val="24"/>
          <w:szCs w:val="24"/>
        </w:rPr>
        <w:t xml:space="preserve">8.6.1  La cadena de decisión de activación</w:t>
      </w:r>
    </w:p>
    <w:p>
      <w:pPr>
        <w:spacing w:after="160" w:before="0"/>
        <w:jc w:val="both"/>
      </w:pPr>
      <w:r>
        <w:rPr>
          <w:rFonts w:ascii="Arial" w:cs="Arial" w:eastAsia="Arial" w:hAnsi="Arial"/>
          <w:sz w:val="22"/>
          <w:szCs w:val="22"/>
        </w:rPr>
        <w:t xml:space="preserve">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Incluso asumiendo latencias de procesamiento en el dispositivo (0–5 s), transmisión Bluetooth (&lt; 1 s) y tiempo de reacción del sistema, el margen de anticipación es suficiente para que el estímulo eléctrico inicie su efecto autonómico antes de la ventana crítica del evento.</w:t>
      </w:r>
    </w:p>
    <w:p>
      <w:pPr>
        <w:spacing w:after="80" w:before="240"/>
      </w:pPr>
      <w:r>
        <w:rPr>
          <w:rFonts w:ascii="Arial" w:cs="Arial" w:eastAsia="Arial" w:hAnsi="Arial"/>
          <w:b/>
          <w:bCs/>
          <w:color w:val="1E3A5F"/>
          <w:sz w:val="24"/>
          <w:szCs w:val="24"/>
        </w:rPr>
        <w:t xml:space="preserve">8.6.2  La heterogeneidad como barrera principal</w:t>
      </w:r>
    </w:p>
    <w:p>
      <w:pPr>
        <w:spacing w:after="160" w:before="0"/>
        <w:jc w:val="both"/>
      </w:pPr>
      <w:r>
        <w:rPr>
          <w:rFonts w:ascii="Arial" w:cs="Arial" w:eastAsia="Arial" w:hAnsi="Arial"/>
          <w:sz w:val="22"/>
          <w:szCs w:val="22"/>
        </w:rPr>
        <w:t xml:space="preserve">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pPr>
        <w:spacing w:after="80" w:before="240"/>
      </w:pPr>
      <w:r>
        <w:rPr>
          <w:rFonts w:ascii="Arial" w:cs="Arial" w:eastAsia="Arial" w:hAnsi="Arial"/>
          <w:b/>
          <w:bCs/>
          <w:color w:val="1E3A5F"/>
          <w:sz w:val="24"/>
          <w:szCs w:val="24"/>
        </w:rPr>
        <w:t xml:space="preserve">8.6.3  Lo que establece NB08 y lo que queda pendiente</w:t>
      </w:r>
    </w:p>
    <w:p>
      <w:pPr>
        <w:spacing w:after="160" w:before="0"/>
        <w:jc w:val="both"/>
      </w:pPr>
      <w:r>
        <w:rPr>
          <w:rFonts w:ascii="Arial" w:cs="Arial" w:eastAsia="Arial" w:hAnsi="Arial"/>
          <w:sz w:val="22"/>
          <w:szCs w:val="22"/>
        </w:rPr>
        <w:t xml:space="preserve">Los resultados de NB08 establecen la factibilidad analítica de la predicción prospectiva: el estado fisiológico PAC transporta información predictiva sostenida a 2–15 min que 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8.7  Limitaciones</w:t>
      </w:r>
    </w:p>
    <w:p>
      <w:pPr>
        <w:spacing w:after="160" w:before="0"/>
        <w:jc w:val="both"/>
      </w:pPr>
      <w:r>
        <w:rPr>
          <w:rFonts w:ascii="Arial" w:cs="Arial" w:eastAsia="Arial" w:hAnsi="Arial"/>
          <w:sz w:val="22"/>
          <w:szCs w:val="22"/>
        </w:rPr>
        <w:t xml:space="preserve">Los resultados de este capítulo deben interpretarse en el contexto de las siguientes limitaciones, presentadas en orden de impacto estimado.</w:t>
      </w:r>
    </w:p>
    <w:p>
      <w:pPr>
        <w:spacing w:after="80" w:before="240"/>
      </w:pPr>
      <w:r>
        <w:rPr>
          <w:rFonts w:ascii="Arial" w:cs="Arial" w:eastAsia="Arial" w:hAnsi="Arial"/>
          <w:b/>
          <w:bCs/>
          <w:color w:val="1E3A5F"/>
          <w:sz w:val="24"/>
          <w:szCs w:val="24"/>
        </w:rPr>
        <w:t xml:space="preserve">8.7.1  Tamaño de muestra</w:t>
      </w:r>
    </w:p>
    <w:p>
      <w:pPr>
        <w:spacing w:after="160" w:before="0"/>
        <w:jc w:val="both"/>
      </w:pPr>
      <w:r>
        <w:rPr>
          <w:rFonts w:ascii="Arial" w:cs="Arial" w:eastAsia="Arial" w:hAnsi="Arial"/>
          <w:sz w:val="22"/>
          <w:szCs w:val="22"/>
        </w:rPr>
        <w:t xml:space="preserve">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pPr>
        <w:spacing w:after="80" w:before="240"/>
      </w:pPr>
      <w:r>
        <w:rPr>
          <w:rFonts w:ascii="Arial" w:cs="Arial" w:eastAsia="Arial" w:hAnsi="Arial"/>
          <w:b/>
          <w:bCs/>
          <w:color w:val="1E3A5F"/>
          <w:sz w:val="24"/>
          <w:szCs w:val="24"/>
        </w:rPr>
        <w:t xml:space="preserve">8.7.2  Heterogeneidad no modelada</w:t>
      </w:r>
    </w:p>
    <w:p>
      <w:pPr>
        <w:spacing w:after="160" w:before="0"/>
        <w:jc w:val="both"/>
      </w:pPr>
      <w:r>
        <w:rPr>
          <w:rFonts w:ascii="Arial" w:cs="Arial" w:eastAsia="Arial" w:hAnsi="Arial"/>
          <w:sz w:val="22"/>
          <w:szCs w:val="22"/>
        </w:rPr>
        <w:t xml:space="preserve">La variación de 20× en la prevalencia inter-paciente implica que el modelo operaría con parámetros inadecuados para cualquier paciente individual en los extremos de la distribución. Un sistema de activación clínico requiere calibración individualizada.</w:t>
      </w:r>
    </w:p>
    <w:p>
      <w:pPr>
        <w:spacing w:after="80" w:before="240"/>
      </w:pPr>
      <w:r>
        <w:rPr>
          <w:rFonts w:ascii="Arial" w:cs="Arial" w:eastAsia="Arial" w:hAnsi="Arial"/>
          <w:b/>
          <w:bCs/>
          <w:color w:val="1E3A5F"/>
          <w:sz w:val="24"/>
          <w:szCs w:val="24"/>
        </w:rPr>
        <w:t xml:space="preserve">8.7.3  Circularidad potencial de las representaciones PAC</w:t>
      </w:r>
    </w:p>
    <w:p>
      <w:pPr>
        <w:spacing w:after="160" w:before="0"/>
        <w:jc w:val="both"/>
      </w:pPr>
      <w:r>
        <w:rPr>
          <w:rFonts w:ascii="Arial" w:cs="Arial" w:eastAsia="Arial" w:hAnsi="Arial"/>
          <w:sz w:val="22"/>
          <w:szCs w:val="22"/>
        </w:rPr>
        <w:t xml:space="preserve">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w:t>
      </w:r>
    </w:p>
    <w:p>
      <w:pPr>
        <w:spacing w:after="80" w:before="240"/>
      </w:pPr>
      <w:r>
        <w:rPr>
          <w:rFonts w:ascii="Arial" w:cs="Arial" w:eastAsia="Arial" w:hAnsi="Arial"/>
          <w:b/>
          <w:bCs/>
          <w:color w:val="1E3A5F"/>
          <w:sz w:val="24"/>
          <w:szCs w:val="24"/>
        </w:rPr>
        <w:t xml:space="preserve">8.7.4  Calibración de probabilidades y Average Precision</w:t>
      </w:r>
    </w:p>
    <w:p>
      <w:pPr>
        <w:spacing w:after="160" w:before="0"/>
        <w:jc w:val="both"/>
      </w:pPr>
      <w:r>
        <w:rPr>
          <w:rFonts w:ascii="Arial" w:cs="Arial" w:eastAsia="Arial" w:hAnsi="Arial"/>
          <w:sz w:val="22"/>
          <w:szCs w:val="22"/>
        </w:rPr>
        <w:t xml:space="preserve">La Figura 8.6 muestra el perfil de riesgo predicho a lo largo de la noche y la calibración del modelo para H = 5 min.</w:t>
      </w:r>
    </w:p>
    <w:p>
      <w:pPr>
        <w:spacing w:after="160" w:before="0"/>
      </w:pPr>
      <w:r>
        <w:rPr>
          <w:rFonts w:ascii="Arial" w:cs="Arial" w:eastAsia="Arial" w:hAnsi="Arial"/>
        </w:rPr>
        <w:t xml:space="preserve"/>
      </w:r>
    </w:p>
    <w:p>
      <w:pPr>
        <w:spacing w:after="80" w:before="120"/>
        <w:jc w:val="center"/>
      </w:pPr>
      <w:r>
        <w:drawing>
          <wp:inline distT="0" distB="0" distL="0" distR="0">
            <wp:extent cx="5905500" cy="2105025"/>
            <wp:effectExtent t="0" r="0" b="0" l="0"/>
            <wp:docPr id="1"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05025"/>
                    </a:xfrm>
                    <a:prstGeom prst="rect">
                      <a:avLst/>
                    </a:prstGeom>
                  </pic:spPr>
                </pic:pic>
              </a:graphicData>
            </a:graphic>
          </wp:inline>
        </w:drawing>
      </w:r>
    </w:p>
    <w:p>
      <w:pPr>
        <w:spacing w:after="280" w:before="80"/>
        <w:jc w:val="both"/>
      </w:pPr>
      <w:r>
        <w:rPr>
          <w:rFonts w:ascii="Arial" w:cs="Arial" w:eastAsia="Arial" w:hAnsi="Arial"/>
          <w:b/>
          <w:bCs/>
          <w:sz w:val="19"/>
          <w:szCs w:val="19"/>
        </w:rPr>
        <w:t xml:space="preserve">Figura 8.6. </w:t>
      </w:r>
      <w:r>
        <w:rPr>
          <w:rFonts w:ascii="Arial" w:cs="Arial" w:eastAsia="Arial" w:hAnsi="Arial"/>
          <w:i/>
          <w:iCs/>
          <w:sz w:val="19"/>
          <w:szCs w:val="19"/>
        </w:rPr>
        <w:t xml:space="preserve">Perfil de riesgo temporal y calibración del modelo (H = 5 min, LightGBM). </w:t>
      </w:r>
      <w:r>
        <w:rPr>
          <w:rFonts w:ascii="Arial" w:cs="Arial" w:eastAsia="Arial" w:hAnsi="Arial"/>
          <w:sz w:val="19"/>
          <w:szCs w:val="19"/>
        </w:rPr>
        <w:t xml:space="preserve">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pPr>
        <w:spacing w:after="120" w:before="0"/>
      </w:pPr>
      <w:r>
        <w:rPr>
          <w:rFonts w:ascii="Arial" w:cs="Arial" w:eastAsia="Arial" w:hAnsi="Arial"/>
        </w:rPr>
        <w:t xml:space="preserve"/>
      </w:r>
    </w:p>
    <w:p>
      <w:pPr>
        <w:spacing w:after="160" w:before="0"/>
        <w:jc w:val="both"/>
      </w:pPr>
      <w:r>
        <w:rPr>
          <w:rFonts w:ascii="Arial" w:cs="Arial" w:eastAsia="Arial" w:hAnsi="Arial"/>
          <w:sz w:val="22"/>
          <w:szCs w:val="22"/>
        </w:rPr>
        <w:t xml:space="preserve">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pPr>
        <w:spacing w:after="160" w:before="0"/>
        <w:jc w:val="both"/>
      </w:pPr>
      <w:r>
        <w:rPr>
          <w:rFonts w:ascii="Arial" w:cs="Arial" w:eastAsia="Arial" w:hAnsi="Arial"/>
          <w:sz w:val="22"/>
          <w:szCs w:val="22"/>
        </w:rPr>
        <w:t xml:space="preserve">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Un sistema de activación clínico que utilice las probabilidades del modelo en términos absolutos requeriría una etapa explícita de calibración posterior (por ejemplo, mediante regresión logística isotónica o Platt scaling sobre el conjunto de validación de cada fold).</w:t>
      </w:r>
    </w:p>
    <w:p>
      <w:pPr>
        <w:spacing w:after="160" w:before="0"/>
        <w:jc w:val="both"/>
      </w:pPr>
      <w:r>
        <w:rPr>
          <w:rFonts w:ascii="Arial" w:cs="Arial" w:eastAsia="Arial" w:hAnsi="Arial"/>
          <w:sz w:val="22"/>
          <w:szCs w:val="22"/>
        </w:rPr>
        <w:t xml:space="preserve">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AP es la métrica más informativa para decisiones operacionales (Wasserstein &amp; Lazar, 2016).</w:t>
      </w:r>
    </w:p>
    <w:p>
      <w:pPr>
        <w:spacing w:after="80" w:before="240"/>
      </w:pPr>
      <w:r>
        <w:rPr>
          <w:rFonts w:ascii="Arial" w:cs="Arial" w:eastAsia="Arial" w:hAnsi="Arial"/>
          <w:b/>
          <w:bCs/>
          <w:color w:val="1E3A5F"/>
          <w:sz w:val="24"/>
          <w:szCs w:val="24"/>
        </w:rPr>
        <w:t xml:space="preserve">8.7.5  Ausencia de validación externa y feature morph_mean</w:t>
      </w:r>
    </w:p>
    <w:p>
      <w:pPr>
        <w:spacing w:after="160" w:before="0"/>
        <w:jc w:val="both"/>
      </w:pPr>
      <w:r>
        <w:rPr>
          <w:rFonts w:ascii="Arial" w:cs="Arial" w:eastAsia="Arial" w:hAnsi="Arial"/>
          <w:sz w:val="22"/>
          <w:szCs w:val="22"/>
        </w:rPr>
        <w:t xml:space="preserve">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8.8  Conclusión y bridge al Capítulo 9</w:t>
      </w:r>
    </w:p>
    <w:p>
      <w:pPr>
        <w:spacing w:after="160" w:before="0"/>
        <w:jc w:val="both"/>
      </w:pPr>
      <w:r>
        <w:rPr>
          <w:rFonts w:ascii="Arial" w:cs="Arial" w:eastAsia="Arial" w:hAnsi="Arial"/>
          <w:sz w:val="22"/>
          <w:szCs w:val="22"/>
        </w:rPr>
        <w:t xml:space="preserve">El módulo NB08 cierra el arco analítico del Proyecto APNEA.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pPr>
        <w:spacing w:after="160" w:before="0"/>
        <w:jc w:val="both"/>
      </w:pPr>
      <w:r>
        <w:rPr>
          <w:rFonts w:ascii="Arial" w:cs="Arial" w:eastAsia="Arial" w:hAnsi="Arial"/>
          <w:sz w:val="22"/>
          <w:szCs w:val="22"/>
        </w:rPr>
        <w:t xml:space="preserve">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pPr>
        <w:spacing w:after="160" w:before="0"/>
        <w:jc w:val="both"/>
      </w:pPr>
      <w:r>
        <w:rPr>
          <w:rFonts w:ascii="Arial" w:cs="Arial" w:eastAsia="Arial" w:hAnsi="Arial"/>
          <w:sz w:val="22"/>
          <w:szCs w:val="22"/>
        </w:rPr>
        <w:t xml:space="preserve">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pPr>
        <w:spacing w:after="160" w:before="0"/>
        <w:jc w:val="both"/>
      </w:pPr>
      <w:r>
        <w:rPr>
          <w:rFonts w:ascii="Arial" w:cs="Arial" w:eastAsia="Arial" w:hAnsi="Arial"/>
          <w:sz w:val="22"/>
          <w:szCs w:val="22"/>
        </w:rPr>
        <w:t xml:space="preserve">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pPr>
        <w:spacing w:after="160" w:before="0"/>
        <w:jc w:val="both"/>
      </w:pPr>
      <w:r>
        <w:rPr>
          <w:rFonts w:ascii="Arial" w:cs="Arial" w:eastAsia="Arial" w:hAnsi="Arial"/>
          <w:sz w:val="22"/>
          <w:szCs w:val="22"/>
        </w:rPr>
        <w:t xml:space="preserve">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pPr>
        <w:spacing w:after="160" w:before="0"/>
      </w:pPr>
      <w:r>
        <w:rPr>
          <w:rFonts w:ascii="Arial" w:cs="Arial" w:eastAsia="Arial" w:hAnsi="Arial"/>
        </w:rPr>
        <w:t xml:space="preserve"/>
      </w:r>
    </w:p>
    <w:p>
      <w:pPr>
        <w:pBdr>
          <w:left w:val="single" w:color="1E3A5F" w:sz="12" w:space="8"/>
        </w:pBdr>
        <w:spacing w:after="120" w:before="160"/>
        <w:ind w:left="360"/>
      </w:pPr>
      <w:r>
        <w:rPr>
          <w:rFonts w:ascii="Arial" w:cs="Arial" w:eastAsia="Arial" w:hAnsi="Arial"/>
          <w:b/>
          <w:bCs/>
          <w:color w:val="1E3A5F"/>
          <w:sz w:val="24"/>
          <w:szCs w:val="24"/>
        </w:rPr>
        <w:t xml:space="preserve">Bridge al Capítulo 9 — Discusión</w:t>
      </w:r>
    </w:p>
    <w:p>
      <w:pPr>
        <w:spacing w:after="240" w:before="0"/>
        <w:ind w:left="360"/>
        <w:jc w:val="both"/>
      </w:pPr>
      <w:r>
        <w:rPr>
          <w:rFonts w:ascii="Arial" w:cs="Arial" w:eastAsia="Arial" w:hAnsi="Arial"/>
          <w:sz w:val="22"/>
          <w:szCs w:val="22"/>
        </w:rPr>
        <w:t xml:space="preserve">El Capítulo 9 pone en diálogo el arco completo del Proyecto APNEA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pPr>
        <w:spacing w:after="120" w:before="0"/>
      </w:pPr>
      <w:r>
        <w:rPr>
          <w:rFonts w:ascii="Arial" w:cs="Arial" w:eastAsia="Arial" w:hAnsi="Arial"/>
        </w:rPr>
        <w:t xml:space="preserve"/>
      </w:r>
    </w:p>
    <w:p>
      <w:pPr>
        <w:pBdr>
          <w:bottom w:val="single" w:color="D0D8E4" w:sz="6" w:space="4"/>
        </w:pBdr>
        <w:spacing w:after="120" w:before="280"/>
      </w:pPr>
      <w:r>
        <w:rPr>
          <w:rFonts w:ascii="Arial" w:cs="Arial" w:eastAsia="Arial" w:hAnsi="Arial"/>
          <w:b/>
          <w:bCs/>
          <w:color w:val="1E3A5F"/>
          <w:sz w:val="28"/>
          <w:szCs w:val="28"/>
        </w:rPr>
        <w:t xml:space="preserve">Referencias</w:t>
      </w:r>
    </w:p>
    <w:p>
      <w:pPr>
        <w:spacing w:after="160" w:before="0"/>
        <w:ind w:left="720" w:hanging="72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rFonts w:ascii="Arial" w:cs="Arial" w:eastAsia="Arial" w:hAnsi="Arial"/>
          <w:i/>
          <w:iCs/>
          <w:sz w:val="22"/>
          <w:szCs w:val="22"/>
        </w:rPr>
        <w:t xml:space="preserve">European Heart Journal</w:t>
      </w:r>
      <w:r>
        <w:rPr>
          <w:rFonts w:ascii="Arial" w:cs="Arial" w:eastAsia="Arial" w:hAnsi="Arial"/>
          <w:sz w:val="22"/>
          <w:szCs w:val="22"/>
        </w:rPr>
        <w:t xml:space="preserve">, 40(14), 1149–1157. https://doi.org/10.1093/eurheartj/ehy624</w:t>
      </w:r>
    </w:p>
    <w:p>
      <w:pPr>
        <w:spacing w:after="160" w:before="0"/>
        <w:ind w:left="720" w:hanging="72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w:t>
      </w:r>
      <w:r>
        <w:rPr>
          <w:rFonts w:ascii="Arial" w:cs="Arial" w:eastAsia="Arial" w:hAnsi="Arial"/>
          <w:i/>
          <w:iCs/>
          <w:sz w:val="22"/>
          <w:szCs w:val="22"/>
        </w:rPr>
        <w:t xml:space="preserve">Journal of Clinical Sleep Medicine</w:t>
      </w:r>
      <w:r>
        <w:rPr>
          <w:rFonts w:ascii="Arial" w:cs="Arial" w:eastAsia="Arial" w:hAnsi="Arial"/>
          <w:sz w:val="22"/>
          <w:szCs w:val="22"/>
        </w:rPr>
        <w:t xml:space="preserve">, 8(5), 597–619. https://doi.org/10.5664/jcsm.2172</w:t>
      </w:r>
    </w:p>
    <w:p>
      <w:pPr>
        <w:spacing w:after="160" w:before="0"/>
        <w:ind w:left="720" w:hanging="72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60" w:before="0"/>
        <w:ind w:left="720" w:hanging="720"/>
        <w:jc w:val="both"/>
      </w:pPr>
      <w:r>
        <w:rPr>
          <w:rFonts w:ascii="Arial" w:cs="Arial" w:eastAsia="Arial" w:hAnsi="Arial"/>
          <w:sz w:val="22"/>
          <w:szCs w:val="22"/>
        </w:rPr>
        <w:t xml:space="preserve">Inza, R., et al. (en preparación). Predicción prospectiva de eventos de desaturación severa con horizonte temporal clínico mediante representaciones PAC. [T4]</w:t>
      </w:r>
    </w:p>
    <w:p>
      <w:pPr>
        <w:spacing w:after="160" w:before="0"/>
        <w:ind w:left="720" w:hanging="720"/>
        <w:jc w:val="both"/>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w:t>
      </w:r>
      <w:r>
        <w:rPr>
          <w:rFonts w:ascii="Arial" w:cs="Arial" w:eastAsia="Arial" w:hAnsi="Arial"/>
          <w:sz w:val="22"/>
          <w:szCs w:val="22"/>
        </w:rPr>
        <w:t xml:space="preserve">, 30, 3146–3154.</w:t>
      </w:r>
    </w:p>
    <w:p>
      <w:pPr>
        <w:spacing w:after="160" w:before="0"/>
        <w:ind w:left="720" w:hanging="720"/>
        <w:jc w:val="both"/>
      </w:pPr>
      <w:r>
        <w:rPr>
          <w:rFonts w:ascii="Arial" w:cs="Arial" w:eastAsia="Arial" w:hAnsi="Arial"/>
          <w:sz w:val="22"/>
          <w:szCs w:val="22"/>
        </w:rPr>
        <w:t xml:space="preserve">Lévy, P., Kohler, M., McNicholas, W. T., Barbé, F., McEvoy, R. D., Somers, V. K., … &amp; Pépin, J.-L. (2015). Obstructive sleep apnoea syndrome. </w:t>
      </w:r>
      <w:r>
        <w:rPr>
          <w:rFonts w:ascii="Arial" w:cs="Arial" w:eastAsia="Arial" w:hAnsi="Arial"/>
          <w:i/>
          <w:iCs/>
          <w:sz w:val="22"/>
          <w:szCs w:val="22"/>
        </w:rPr>
        <w:t xml:space="preserve">Nature Reviews Disease Primers</w:t>
      </w:r>
      <w:r>
        <w:rPr>
          <w:rFonts w:ascii="Arial" w:cs="Arial" w:eastAsia="Arial" w:hAnsi="Arial"/>
          <w:sz w:val="22"/>
          <w:szCs w:val="22"/>
        </w:rPr>
        <w:t xml:space="preserve">, 1, 15015. https://doi.org/10.1038/nrdp.2015.15</w:t>
      </w:r>
    </w:p>
    <w:p>
      <w:pPr>
        <w:spacing w:after="160" w:before="0"/>
        <w:ind w:left="720" w:hanging="720"/>
        <w:jc w:val="both"/>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w:t>
      </w:r>
      <w:r>
        <w:rPr>
          <w:rFonts w:ascii="Arial" w:cs="Arial" w:eastAsia="Arial" w:hAnsi="Arial"/>
          <w:sz w:val="22"/>
          <w:szCs w:val="22"/>
        </w:rPr>
        <w:t xml:space="preserve">, 70(2), 129–133. https://doi.org/10.1080/00031305.2016.1154107</w:t>
      </w:r>
    </w:p>
    <w:p>
      <w:pPr>
        <w:spacing w:after="120" w:before="0"/>
      </w:pPr>
      <w:r>
        <w:rPr>
          <w:rFonts w:ascii="Arial" w:cs="Arial" w:eastAsia="Arial" w:hAnsi="Arial"/>
        </w:rP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after="0" w:before="8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80" w:before="0"/>
    </w:pPr>
    <w:r>
      <w:rPr>
        <w:rFonts w:ascii="Arial" w:cs="Arial" w:eastAsia="Arial" w:hAnsi="Arial"/>
        <w:color w:val="6B7280"/>
        <w:sz w:val="16"/>
        <w:szCs w:val="16"/>
      </w:rPr>
      <w:t xml:space="preserve">Proyecto APNEA · Tesis de Maestría</w:t>
    </w:r>
    <w:r>
      <w:rPr>
        <w:rFonts w:ascii="Arial" w:cs="Arial" w:eastAsia="Arial" w:hAnsi="Arial"/>
      </w:rPr>
      <w:t xml:space="preserve">	</w:t>
    </w:r>
    <w:r>
      <w:rPr>
        <w:rFonts w:ascii="Arial" w:cs="Arial" w:eastAsia="Arial" w:hAnsi="Arial"/>
        <w:i/>
        <w:iCs/>
        <w:color w:val="6B7280"/>
        <w:sz w:val="16"/>
        <w:szCs w:val="16"/>
      </w:rPr>
      <w:t xml:space="preserve">Capítulo 8 — Predicción prospectiva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43b05e7cda9471aa0e09eda6bcf3c13e56b24.png"/><Relationship Id="rId10" Type="http://schemas.openxmlformats.org/officeDocument/2006/relationships/image" Target="media/697a9165f74a479e9b95883f2aeba9f61a9f2655.png"/><Relationship Id="rId11" Type="http://schemas.openxmlformats.org/officeDocument/2006/relationships/image" Target="media/d38b573c6f7a6ce24fff7004606b545300e0b648.png"/><Relationship Id="rId12" Type="http://schemas.openxmlformats.org/officeDocument/2006/relationships/image" Target="media/3e1728056a56771ab902b5539b8a554b782d0ee2.png"/><Relationship Id="rId13" Type="http://schemas.openxmlformats.org/officeDocument/2006/relationships/image" Target="media/afbd58a729fdee7c19e6a1b6c37c0992cf9d81cf.png"/><Relationship Id="rId14" Type="http://schemas.openxmlformats.org/officeDocument/2006/relationships/image" Target="media/ff33894203c1de4572d33c680fb8cdb9ac5eec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2026-05-27T22:02:40.439Z</dcterms:created>
  <dcterms:modified xsi:type="dcterms:W3CDTF">2026-05-27T22:02:40.440Z</dcterms:modified>
</cp:coreProperties>
</file>

<file path=docProps/custom.xml><?xml version="1.0" encoding="utf-8"?>
<Properties xmlns="http://schemas.openxmlformats.org/officeDocument/2006/custom-properties" xmlns:vt="http://schemas.openxmlformats.org/officeDocument/2006/docPropsVTypes"/>
</file>