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rPr>
        <w:t xml:space="preserve"/>
      </w:r>
    </w:p>
    <w:p>
      <w:pPr>
        <w:spacing w:after="120" w:before="0"/>
      </w:pPr>
      <w:r>
        <w:rPr>
          <w:rFonts w:ascii="Arial" w:cs="Arial" w:eastAsia="Arial" w:hAnsi="Arial"/>
          <w:b/>
          <w:bCs/>
          <w:color w:val="6B7280"/>
          <w:sz w:val="20"/>
          <w:szCs w:val="20"/>
        </w:rPr>
        <w:t xml:space="preserve">CAPÍTULO 8</w:t>
      </w:r>
    </w:p>
    <w:p>
      <w:pPr>
        <w:spacing w:after="240" w:before="0"/>
      </w:pPr>
      <w:r>
        <w:rPr>
          <w:rFonts w:ascii="Arial" w:cs="Arial" w:eastAsia="Arial" w:hAnsi="Arial"/>
          <w:b/>
          <w:bCs/>
          <w:color w:val="1E3A5F"/>
          <w:sz w:val="36"/>
          <w:szCs w:val="36"/>
        </w:rPr>
        <w:t xml:space="preserve">Predicción prospectiva con horizonte temporal: el módulo NB08</w:t>
      </w:r>
    </w:p>
    <w:p>
      <w:pPr>
        <w:spacing w:after="480" w:before="0"/>
      </w:pPr>
      <w:r>
        <w:rPr>
          <w:rFonts w:ascii="Arial" w:cs="Arial" w:eastAsia="Arial" w:hAnsi="Arial"/>
          <w:color w:val="6B7280"/>
          <w:sz w:val="18"/>
          <w:szCs w:val="18"/>
        </w:rPr>
        <w:t xml:space="preserve">Versión 3  ·  Mayo 2026</w:t>
      </w:r>
    </w:p>
    <w:p>
      <w:pPr>
        <w:spacing w:after="120" w:before="0"/>
      </w:pPr>
      <w:r>
        <w:rPr>
          <w:rFonts w:ascii="Arial" w:cs="Arial" w:eastAsia="Arial" w:hAnsi="Arial"/>
          <w:b/>
          <w:bCs/>
          <w:color w:val="1E3A5F"/>
          <w:sz w:val="20"/>
          <w:szCs w:val="20"/>
        </w:rPr>
        <w:t xml:space="preserve">Contenido de este capítulo</w:t>
      </w:r>
    </w:p>
    <w:p>
      <w:pPr>
        <w:spacing w:after="80" w:before="0"/>
      </w:pPr>
      <w:r>
        <w:rPr>
          <w:rFonts w:ascii="Arial" w:cs="Arial" w:eastAsia="Arial" w:hAnsi="Arial"/>
          <w:color w:val="333333"/>
          <w:sz w:val="20"/>
          <w:szCs w:val="20"/>
        </w:rPr>
        <w:t xml:space="preserve">8.1  Formulación del problema y motivación clínica</w:t>
      </w:r>
    </w:p>
    <w:p>
      <w:pPr>
        <w:spacing w:after="80" w:before="0"/>
      </w:pPr>
      <w:r>
        <w:rPr>
          <w:rFonts w:ascii="Arial" w:cs="Arial" w:eastAsia="Arial" w:hAnsi="Arial"/>
          <w:color w:val="333333"/>
          <w:sz w:val="20"/>
          <w:szCs w:val="20"/>
        </w:rPr>
        <w:t xml:space="preserve">8.2  Diseño del análisis</w:t>
      </w:r>
    </w:p>
    <w:p>
      <w:pPr>
        <w:spacing w:after="80" w:before="0"/>
      </w:pPr>
      <w:r>
        <w:rPr>
          <w:rFonts w:ascii="Arial" w:cs="Arial" w:eastAsia="Arial" w:hAnsi="Arial"/>
          <w:color w:val="333333"/>
          <w:sz w:val="20"/>
          <w:szCs w:val="20"/>
        </w:rPr>
        <w:t xml:space="preserve">8.3  Prevalencia de los targets y heterogeneidad inter-paciente</w:t>
      </w:r>
    </w:p>
    <w:p>
      <w:pPr>
        <w:spacing w:after="80" w:before="0"/>
      </w:pPr>
      <w:r>
        <w:rPr>
          <w:rFonts w:ascii="Arial" w:cs="Arial" w:eastAsia="Arial" w:hAnsi="Arial"/>
          <w:color w:val="333333"/>
          <w:sz w:val="20"/>
          <w:szCs w:val="20"/>
        </w:rPr>
        <w:t xml:space="preserve">8.4  Rendimiento discriminativo</w:t>
      </w:r>
    </w:p>
    <w:p>
      <w:pPr>
        <w:spacing w:after="80" w:before="0"/>
      </w:pPr>
      <w:r>
        <w:rPr>
          <w:rFonts w:ascii="Arial" w:cs="Arial" w:eastAsia="Arial" w:hAnsi="Arial"/>
          <w:color w:val="333333"/>
          <w:sz w:val="20"/>
          <w:szCs w:val="20"/>
        </w:rPr>
        <w:t xml:space="preserve">8.5  Análisis operacional: horizonte óptimo y umbral de activación</w:t>
      </w:r>
    </w:p>
    <w:p>
      <w:pPr>
        <w:spacing w:after="80" w:before="0"/>
      </w:pPr>
      <w:r>
        <w:rPr>
          <w:rFonts w:ascii="Arial" w:cs="Arial" w:eastAsia="Arial" w:hAnsi="Arial"/>
          <w:color w:val="333333"/>
          <w:sz w:val="20"/>
          <w:szCs w:val="20"/>
        </w:rPr>
        <w:t xml:space="preserve">8.6  Implicancias para la estimulación eléctrica transcutánea</w:t>
      </w:r>
    </w:p>
    <w:p>
      <w:pPr>
        <w:spacing w:after="80" w:before="0"/>
      </w:pPr>
      <w:r>
        <w:rPr>
          <w:rFonts w:ascii="Arial" w:cs="Arial" w:eastAsia="Arial" w:hAnsi="Arial"/>
          <w:color w:val="333333"/>
          <w:sz w:val="20"/>
          <w:szCs w:val="20"/>
        </w:rPr>
        <w:t xml:space="preserve">8.7  Limitaciones</w:t>
      </w:r>
    </w:p>
    <w:p>
      <w:pPr>
        <w:spacing w:after="80" w:before="0"/>
      </w:pPr>
      <w:r>
        <w:rPr>
          <w:rFonts w:ascii="Arial" w:cs="Arial" w:eastAsia="Arial" w:hAnsi="Arial"/>
          <w:color w:val="333333"/>
          <w:sz w:val="20"/>
          <w:szCs w:val="20"/>
        </w:rPr>
        <w:t xml:space="preserve">8.8  Conclusión y bridge al Capítulo 9</w:t>
      </w:r>
    </w:p>
    <w:p>
      <w:pPr>
        <w:spacing w:after="80" w:before="0"/>
      </w:pPr>
      <w:r>
        <w:rPr>
          <w:rFonts w:ascii="Arial" w:cs="Arial" w:eastAsia="Arial" w:hAnsi="Arial"/>
          <w:color w:val="333333"/>
          <w:sz w:val="20"/>
          <w:szCs w:val="20"/>
        </w:rPr>
        <w:t xml:space="preserve">Referencias</w:t>
      </w:r>
    </w:p>
    <w:p>
      <w:pPr>
        <w:spacing w:after="200" w:before="0"/>
      </w:pPr>
      <w:r>
        <w:rPr>
          <w:rFonts w:ascii="Arial" w:cs="Arial" w:eastAsia="Arial" w:hAnsi="Arial"/>
        </w:rPr>
        <w:t xml:space="preserve"/>
      </w:r>
    </w:p>
    <w:p>
      <w:pPr>
        <w:spacing w:after="80" w:before="0"/>
        <w:jc w:val="center"/>
      </w:pPr>
      <w:r>
        <w:rPr>
          <w:rFonts w:ascii="Arial" w:cs="Arial" w:eastAsia="Arial" w:hAnsi="Arial"/>
          <w:i/>
          <w:iCs/>
          <w:color w:val="6B7280"/>
          <w:sz w:val="18"/>
          <w:szCs w:val="18"/>
        </w:rPr>
        <w:t xml:space="preserve">Roberto Inza · Universidad Austral · Maestría en Explotación de Datos y Gestión del Conocimiento</w:t>
      </w:r>
    </w:p>
    <w:p>
      <w:r>
        <w:br w:type="page"/>
      </w:r>
    </w:p>
    <w:p>
      <w:pPr>
        <w:spacing w:after="160" w:before="0"/>
        <w:jc w:val="both"/>
      </w:pPr>
      <w:r>
        <w:rPr>
          <w:rFonts w:ascii="Arial" w:cs="Arial" w:eastAsia="Arial" w:hAnsi="Arial"/>
          <w:sz w:val="22"/>
          <w:szCs w:val="22"/>
        </w:rPr>
        <w:t xml:space="preserve">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pPr>
        <w:spacing w:after="160" w:before="0"/>
        <w:jc w:val="both"/>
      </w:pPr>
      <w:r>
        <w:rPr>
          <w:rFonts w:ascii="Arial" w:cs="Arial" w:eastAsia="Arial" w:hAnsi="Arial"/>
          <w:sz w:val="22"/>
          <w:szCs w:val="22"/>
        </w:rPr>
        <w:t xml:space="preserve">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pPr>
        <w:spacing w:after="160" w:before="0"/>
        <w:jc w:val="both"/>
      </w:pPr>
      <w:r>
        <w:rPr>
          <w:rFonts w:ascii="Arial" w:cs="Arial" w:eastAsia="Arial" w:hAnsi="Arial"/>
          <w:sz w:val="22"/>
          <w:szCs w:val="22"/>
        </w:rPr>
        <w:t xml:space="preserve">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pPr>
        <w:spacing w:after="160" w:before="0"/>
        <w:jc w:val="both"/>
      </w:pPr>
      <w:r>
        <w:rPr>
          <w:rFonts w:ascii="Arial" w:cs="Arial" w:eastAsia="Arial" w:hAnsi="Arial"/>
          <w:sz w:val="22"/>
          <w:szCs w:val="22"/>
        </w:rPr>
        <w:t xml:space="preserve">La razón por la que la predicción prospectiva resulta posible es, paradójicamente, la misma que la hace limitada: el sistema fisiológico nocturno exhibe inercia. Los capítulos anteriores documentaron que el sistema PAC tiene propiedades markovianas con atractores definidos —S1, M0 y L3 como estados de mayor retorno— y una resiliencia post-evento severo que decrece dramáticamente con la escala temporal: del 43,3 % de ventanas de recuperación inmediata a escala S al 1,3 % a escala L (Cap06 §6.5). Esa inercia es exactamente la condición que hace posible la anticipación: si el organismo colapsara abruptamente hacia un evento severo desde un estado de aparente normalidad, sin transición gradual a través de los estados PAC, ninguna representación del momento T podría predecir lo que ocurrirá en T + 5 min. La pendiente moderada de la AUC con el horizonte —de 0,838 para H = 2 min a 0,763 para H = 15 min— es la manifestación empírica de esa inercia: la información del estado presente sobre el estado futuro se disipa gradualmente, no de golpe. Un sistema sin memoria no produciría una curva AUC-horizonte tan plana.</w:t>
      </w:r>
    </w:p>
    <w:p>
      <w:pPr>
        <w:spacing w:after="160" w:before="0"/>
        <w:jc w:val="both"/>
      </w:pPr>
      <w:r>
        <w:rPr>
          <w:rFonts w:ascii="Arial" w:cs="Arial" w:eastAsia="Arial" w:hAnsi="Arial"/>
          <w:sz w:val="22"/>
          <w:szCs w:val="22"/>
        </w:rPr>
        <w:t xml:space="preserve">Un segundo aspecto conceptual merece explicitarse antes del análisis técnico. El modelo NB08 no produce probabilidades calibradas en sentido absoluto: su salida debe interpretarse como un score de riesgo —un ranking de ventanas de mayor a menor probabilidad relativa de evento severo— y no como una estimación de la probabilidad clínica de que ocurra un evento en los próximos 5 min. La brecha de calibración (documentada en §8.7.4) implica que el valor numérico del umbral de Youden no corresponde a ningún porcentaje de probabilidad clínica. Esta distinción entre ranking y probabilidad es relevante para cualquier interpretación operacional de los resultados.</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8.1  Formulación del problema y motivación clínica</w:t>
      </w:r>
    </w:p>
    <w:p>
      <w:pPr>
        <w:spacing w:after="160" w:before="0"/>
        <w:jc w:val="both"/>
      </w:pPr>
      <w:r>
        <w:rPr>
          <w:rFonts w:ascii="Arial" w:cs="Arial" w:eastAsia="Arial" w:hAnsi="Arial"/>
          <w:sz w:val="22"/>
          <w:szCs w:val="22"/>
        </w:rPr>
        <w:t xml:space="preserve">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pPr>
        <w:spacing w:after="160" w:before="0"/>
        <w:jc w:val="both"/>
      </w:pPr>
      <w:r>
        <w:rPr>
          <w:rFonts w:ascii="Arial" w:cs="Arial" w:eastAsia="Arial" w:hAnsi="Arial"/>
          <w:sz w:val="22"/>
          <w:szCs w:val="22"/>
        </w:rPr>
        <w:t xml:space="preserve">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8.1. </w:t>
      </w:r>
      <w:r>
        <w:rPr>
          <w:rFonts w:ascii="Arial" w:cs="Arial" w:eastAsia="Arial" w:hAnsi="Arial"/>
          <w:i/>
          <w:iCs/>
          <w:sz w:val="19"/>
          <w:szCs w:val="19"/>
        </w:rPr>
        <w:t xml:space="preserve">Comparación de diseño entre NB07 y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Aspecto</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NB07</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NB08</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Pregunta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 severo este evento en curso?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¿Habrá EDO severo en los próximos Δt min?</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Unidad de análisis</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Eventos individuales (~76.000)</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Ventanas continuas de 30 s (~453.000)</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Condición</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El evento ya ocurrió y es observable</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 hay señal de evento en progreso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AUC reportada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0,905 (noche) / 0,878 (evento)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0,821 (horizonte óptimo, 5 min)</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Acción clínica habilitada</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Clasificar severidad real-time del evento</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Activar estimulación preventiva antes del evento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Dificultad de la tarea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Menor: el evento ya ocurrió</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Mayor: prospectivo, sin señal de evento</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NB07 (Cap06) y NB08 (presente capítulo). La diferencia de AUC (0,905 vs. 0,821) refleja la dificultad inherente de la predicción prospectiva frente a la clasificación condicionada.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motivación clínica para NB08 es específica al dispositivo SOMNI 6000. A diferencia de los monitores de oximetría convencionales, el SOMNI 6000 integra en el mismo sensor de dedo un estimulador eléctrico transcutáneo. La hipótesis operacional del dispositivo postula que la estimulación eléctrica suave en la yema del dedo podría activar el sistema nervioso autónomo simpático e inducir una micro-activación fisiológica que interrumpiera la progresión hacia el evento severo antes de que este se complete. Este mecanismo de acción propuesto está pendiente de confirmación en ensayo clínico prospectivo controlado; el análisis NB08 aborda la condición necesaria para su operacionalización —que exista información predictiva suficiente con margen temporal adecuado— sin evaluar la eficacia terapéutica del estímulo en sí.</w:t>
      </w:r>
    </w:p>
    <w:p>
      <w:pPr>
        <w:spacing w:after="160" w:before="0"/>
        <w:jc w:val="both"/>
      </w:pPr>
      <w:r>
        <w:rPr>
          <w:rFonts w:ascii="Arial" w:cs="Arial" w:eastAsia="Arial" w:hAnsi="Arial"/>
          <w:sz w:val="22"/>
          <w:szCs w:val="22"/>
        </w:rPr>
        <w:t xml:space="preserve">Bajo la hipótesis propuesta, la respuesta fisiológica al estímulo transcutáneo requiere un ramp-up de aproximadamente 90 segundos para ser efectiva. Ese requerimiento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8.2  Diseño del análisis</w:t>
      </w:r>
    </w:p>
    <w:p>
      <w:pPr>
        <w:spacing w:after="160" w:before="0"/>
        <w:jc w:val="both"/>
      </w:pPr>
      <w:r>
        <w:rPr>
          <w:rFonts w:ascii="Arial" w:cs="Arial" w:eastAsia="Arial" w:hAnsi="Arial"/>
          <w:sz w:val="22"/>
          <w:szCs w:val="22"/>
        </w:rPr>
        <w:t xml:space="preserve">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pPr>
        <w:spacing w:after="80" w:before="240"/>
      </w:pPr>
      <w:r>
        <w:rPr>
          <w:rFonts w:ascii="Arial" w:cs="Arial" w:eastAsia="Arial" w:hAnsi="Arial"/>
          <w:b/>
          <w:bCs/>
          <w:color w:val="1E3A5F"/>
          <w:sz w:val="24"/>
          <w:szCs w:val="24"/>
        </w:rPr>
        <w:t xml:space="preserve">8.2.1  Construcción del corpus de ventanas</w:t>
      </w:r>
    </w:p>
    <w:p>
      <w:pPr>
        <w:spacing w:after="160" w:before="0"/>
        <w:jc w:val="both"/>
      </w:pPr>
      <w:r>
        <w:rPr>
          <w:rFonts w:ascii="Arial" w:cs="Arial" w:eastAsia="Arial" w:hAnsi="Arial"/>
          <w:sz w:val="22"/>
          <w:szCs w:val="22"/>
        </w:rPr>
        <w:t xml:space="preserve">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pPr>
        <w:spacing w:after="160" w:before="0"/>
        <w:jc w:val="both"/>
      </w:pPr>
      <w:r>
        <w:rPr>
          <w:rFonts w:ascii="Arial" w:cs="Arial" w:eastAsia="Arial" w:hAnsi="Arial"/>
          <w:sz w:val="22"/>
          <w:szCs w:val="22"/>
        </w:rPr>
        <w:t xml:space="preserve">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pPr>
        <w:spacing w:after="80" w:before="240"/>
      </w:pPr>
      <w:r>
        <w:rPr>
          <w:rFonts w:ascii="Arial" w:cs="Arial" w:eastAsia="Arial" w:hAnsi="Arial"/>
          <w:b/>
          <w:bCs/>
          <w:color w:val="1E3A5F"/>
          <w:sz w:val="24"/>
          <w:szCs w:val="24"/>
        </w:rPr>
        <w:t xml:space="preserve">8.2.2  Features del modelo</w:t>
      </w:r>
    </w:p>
    <w:p>
      <w:pPr>
        <w:spacing w:after="160" w:before="0"/>
        <w:jc w:val="both"/>
      </w:pPr>
      <w:r>
        <w:rPr>
          <w:rFonts w:ascii="Arial" w:cs="Arial" w:eastAsia="Arial" w:hAnsi="Arial"/>
          <w:sz w:val="22"/>
          <w:szCs w:val="22"/>
        </w:rPr>
        <w:t xml:space="preserve">El vector de features de cada ventana fue diseñado con el principio de causalidad estricta: ninguna feature incorpora información de instantes posteriores a t_end. Las features se organizan en cinco grupos funcionales:</w:t>
      </w:r>
    </w:p>
    <w:p>
      <w:pPr>
        <w:spacing w:after="160" w:before="0"/>
        <w:ind w:left="400"/>
        <w:jc w:val="both"/>
      </w:pPr>
      <w:r>
        <w:rPr>
          <w:rFonts w:ascii="Arial" w:cs="Arial" w:eastAsia="Arial" w:hAnsi="Arial"/>
          <w:sz w:val="22"/>
          <w:szCs w:val="22"/>
        </w:rPr>
        <w:t xml:space="preserve">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pPr>
        <w:spacing w:after="160" w:before="0"/>
        <w:ind w:left="400"/>
        <w:jc w:val="both"/>
      </w:pPr>
      <w:r>
        <w:rPr>
          <w:rFonts w:ascii="Arial" w:cs="Arial" w:eastAsia="Arial" w:hAnsi="Arial"/>
          <w:sz w:val="22"/>
          <w:szCs w:val="22"/>
        </w:rPr>
        <w:t xml:space="preserve">Posición temporal: fracción de la noche transcurrida al cierre de la ventana (0 a 1). Esta feature captura la tendencia de mayor concentración de eventos severos en las últimas horas del registro para ciertos perfiles de paciente.</w:t>
      </w:r>
    </w:p>
    <w:p>
      <w:pPr>
        <w:spacing w:after="160" w:before="0"/>
        <w:ind w:left="400"/>
        <w:jc w:val="both"/>
      </w:pPr>
      <w:r>
        <w:rPr>
          <w:rFonts w:ascii="Arial" w:cs="Arial" w:eastAsia="Arial" w:hAnsi="Arial"/>
          <w:sz w:val="22"/>
          <w:szCs w:val="22"/>
        </w:rPr>
        <w:t xml:space="preserve">Historial reciente de eventos: número de EDOs totales y severos (C4+C5) en los últimos 5 y 10 min. El conteo de eventos severos recientes es el predictor de mayor ganancia en los modelos de NB07 (Bloque B), y se espera que conserve ese poder en NB08 para horizontes cortos.</w:t>
      </w:r>
    </w:p>
    <w:p>
      <w:pPr>
        <w:spacing w:after="160" w:before="0"/>
        <w:ind w:left="400"/>
        <w:jc w:val="both"/>
      </w:pPr>
      <w:r>
        <w:rPr>
          <w:rFonts w:ascii="Arial" w:cs="Arial" w:eastAsia="Arial" w:hAnsi="Arial"/>
          <w:sz w:val="22"/>
          <w:szCs w:val="22"/>
        </w:rPr>
        <w:t xml:space="preserve">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pPr>
        <w:spacing w:after="160" w:before="0"/>
        <w:ind w:left="400"/>
        <w:jc w:val="both"/>
      </w:pPr>
      <w:r>
        <w:rPr>
          <w:rFonts w:ascii="Arial" w:cs="Arial" w:eastAsia="Arial" w:hAnsi="Arial"/>
          <w:sz w:val="22"/>
          <w:szCs w:val="22"/>
        </w:rPr>
        <w:t xml:space="preserve">Historial temporal y acumulado: tiempo desde el último EDO y desde el último EDO severo; coupling index acumulado (ci_sofar) y conteo acumulado de C4+C5 en la noche (n_severe_sofar).</w:t>
      </w:r>
    </w:p>
    <w:p>
      <w:pPr>
        <w:spacing w:after="80" w:before="240"/>
      </w:pPr>
      <w:r>
        <w:rPr>
          <w:rFonts w:ascii="Arial" w:cs="Arial" w:eastAsia="Arial" w:hAnsi="Arial"/>
          <w:b/>
          <w:bCs/>
          <w:color w:val="1E3A5F"/>
          <w:sz w:val="24"/>
          <w:szCs w:val="24"/>
        </w:rPr>
        <w:t xml:space="preserve">8.2.3  Modelos y validación</w:t>
      </w:r>
    </w:p>
    <w:p>
      <w:pPr>
        <w:spacing w:after="160" w:before="0"/>
        <w:jc w:val="both"/>
      </w:pPr>
      <w:r>
        <w:rPr>
          <w:rFonts w:ascii="Arial" w:cs="Arial" w:eastAsia="Arial" w:hAnsi="Arial"/>
          <w:sz w:val="22"/>
          <w:szCs w:val="22"/>
        </w:rPr>
        <w:t xml:space="preserve">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Las métricas reportadas son: AUC-ROC (discriminación global), Average Precision (AP) y Sensibilidad, Especificidad y Precisión (PPV) en el umbral de Youden óptimo.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8.3  Prevalencia de los targets y heterogeneidad inter-paciente</w:t>
      </w:r>
    </w:p>
    <w:p>
      <w:pPr>
        <w:spacing w:after="160" w:before="0"/>
        <w:jc w:val="both"/>
      </w:pPr>
      <w:r>
        <w:rPr>
          <w:rFonts w:ascii="Arial" w:cs="Arial" w:eastAsia="Arial" w:hAnsi="Arial"/>
          <w:sz w:val="22"/>
          <w:szCs w:val="22"/>
        </w:rPr>
        <w:t xml:space="preserve">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8.2. </w:t>
      </w:r>
      <w:r>
        <w:rPr>
          <w:rFonts w:ascii="Arial" w:cs="Arial" w:eastAsia="Arial" w:hAnsi="Arial"/>
          <w:i/>
          <w:iCs/>
          <w:sz w:val="19"/>
          <w:szCs w:val="19"/>
        </w:rPr>
        <w:t xml:space="preserve">Prevalencia de la clase positiva por horizonte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 Δt</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Total ventanas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16.951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3,74 %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36.438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8,04 %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62.853</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13,88 %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85.583</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18,89 %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El horizonte de 5 min (fila resaltada) constituye el punto operacional óptimo descrito en §8.5. La prevalencia aumenta con el horizonte por la definición acumulativa del target, no por mayor ocurrencia de eventos.</w:t>
      </w:r>
    </w:p>
    <w:p>
      <w:pPr>
        <w:spacing w:after="160" w:before="0"/>
      </w:pPr>
      <w:r>
        <w:rPr>
          <w:rFonts w:ascii="Arial" w:cs="Arial" w:eastAsia="Arial" w:hAnsi="Arial"/>
        </w:rPr>
        <w:t xml:space="preserve"/>
      </w:r>
    </w:p>
    <w:p>
      <w:pPr>
        <w:spacing w:after="80" w:before="120"/>
        <w:jc w:val="center"/>
      </w:pPr>
      <w:r>
        <w:drawing>
          <wp:inline distT="0" distB="0" distL="0" distR="0">
            <wp:extent cx="5905500" cy="2266950"/>
            <wp:effectExtent t="0" r="0" b="0" l="0"/>
            <wp:docPr id="1"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8.1. </w:t>
      </w:r>
      <w:r>
        <w:rPr>
          <w:rFonts w:ascii="Arial" w:cs="Arial" w:eastAsia="Arial" w:hAnsi="Arial"/>
          <w:i/>
          <w:iCs/>
          <w:sz w:val="19"/>
          <w:szCs w:val="19"/>
        </w:rPr>
        <w:t xml:space="preserve">Dataset de ventanas: características del corpus (NB08). </w:t>
      </w:r>
      <w:r>
        <w:rPr>
          <w:rFonts w:ascii="Arial" w:cs="Arial" w:eastAsia="Arial" w:hAnsi="Arial"/>
          <w:sz w:val="19"/>
          <w:szCs w:val="19"/>
        </w:rPr>
        <w:t xml:space="preserve">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heterogeneidad inter-paciente en la prevalencia del target (horizonte 5 min) es el fenómeno más relevante del corpus para el diseño de un sistema de activación clínico. La Tabla 8.3 muestra la prevalencia individual para los 8 pacientes de la cohorte estricta.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8.3. </w:t>
      </w:r>
      <w:r>
        <w:rPr>
          <w:rFonts w:ascii="Arial" w:cs="Arial" w:eastAsia="Arial" w:hAnsi="Arial"/>
          <w:i/>
          <w:iCs/>
          <w:sz w:val="19"/>
          <w:szCs w:val="19"/>
        </w:rPr>
        <w:t xml:space="preserve">Prevalencia de la clase positiva (Δt = 5 min) por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Paciente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totales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175</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21.271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8B0000"/>
                <w:sz w:val="19"/>
                <w:szCs w:val="19"/>
              </w:rPr>
              <w:t xml:space="preserve">32,1 %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240</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19.205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2.368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12,3 %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309</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53.138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2.596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314</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7.561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119</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1,6 %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321</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80.438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3.898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336</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115.701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8.275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7,2 %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656</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90.886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7.165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64.755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5.181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8.4  Rendimiento discriminativo</w:t>
      </w:r>
    </w:p>
    <w:p>
      <w:pPr>
        <w:spacing w:after="160" w:before="0"/>
        <w:jc w:val="both"/>
      </w:pPr>
      <w:r>
        <w:rPr>
          <w:rFonts w:ascii="Arial" w:cs="Arial" w:eastAsia="Arial" w:hAnsi="Arial"/>
          <w:sz w:val="22"/>
          <w:szCs w:val="22"/>
        </w:rPr>
        <w:t xml:space="preserve">La Tabla 8.4 presenta el rendimiento discriminativo de ambos modelos en validación LOPO-CV para los cuatro horizontes evaluados. Los valores corresponden a promedios globales calculados sobre el conjunto completo de predicciones fuera de muestra.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8.4. </w:t>
      </w:r>
      <w:r>
        <w:rPr>
          <w:rFonts w:ascii="Arial" w:cs="Arial" w:eastAsia="Arial" w:hAnsi="Arial"/>
          <w:i/>
          <w:iCs/>
          <w:sz w:val="19"/>
          <w:szCs w:val="19"/>
        </w:rPr>
        <w:t xml:space="preserve">AUC-ROC y Average Precision por horizonte y modelo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Logística</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LightGBM</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AP LightGBM</w:t>
            </w:r>
          </w:p>
        </w:tc>
        <w:tc>
          <w:tcPr>
            <w:tcW w:type="dxa" w:w="180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Mejora AP s/ base</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0,789</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0,203</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5,4×</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0,774</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0,326</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0,760</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0,783</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0,396</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0,750</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0,763</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0,449</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NB08, LOPO-CV estricto. n = 452.955 ventanas, 8 pacientes. La mejora de AP sobre baseline se calcula como AP LightGBM / prevalencia del horizonte.</w:t>
      </w:r>
    </w:p>
    <w:p>
      <w:pPr>
        <w:spacing w:after="160" w:before="0"/>
      </w:pPr>
      <w:r>
        <w:rPr>
          <w:rFonts w:ascii="Arial" w:cs="Arial" w:eastAsia="Arial" w:hAnsi="Arial"/>
        </w:rPr>
        <w:t xml:space="preserve"/>
      </w:r>
    </w:p>
    <w:p>
      <w:pPr>
        <w:spacing w:after="80" w:before="120"/>
        <w:jc w:val="center"/>
      </w:pPr>
      <w:r>
        <w:drawing>
          <wp:inline distT="0" distB="0" distL="0" distR="0">
            <wp:extent cx="5905500" cy="2200275"/>
            <wp:effectExtent t="0" r="0" b="0" l="0"/>
            <wp:docPr id="1"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002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8.2. </w:t>
      </w:r>
      <w:r>
        <w:rPr>
          <w:rFonts w:ascii="Arial" w:cs="Arial" w:eastAsia="Arial" w:hAnsi="Arial"/>
          <w:i/>
          <w:iCs/>
          <w:sz w:val="19"/>
          <w:szCs w:val="19"/>
        </w:rPr>
        <w:t xml:space="preserve">Rendimiento discriminativo por horizonte (NB08, LightGBM LOPO-CV). </w:t>
      </w:r>
      <w:r>
        <w:rPr>
          <w:rFonts w:ascii="Arial" w:cs="Arial" w:eastAsia="Arial" w:hAnsi="Arial"/>
          <w:sz w:val="19"/>
          <w:szCs w:val="19"/>
        </w:rPr>
        <w:t xml:space="preserve">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pPr>
        <w:spacing w:after="160" w:before="0"/>
        <w:jc w:val="both"/>
      </w:pPr>
      <w:r>
        <w:rPr>
          <w:rFonts w:ascii="Arial" w:cs="Arial" w:eastAsia="Arial" w:hAnsi="Arial"/>
          <w:sz w:val="22"/>
          <w:szCs w:val="22"/>
        </w:rPr>
        <w:t xml:space="preserve">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pPr>
        <w:spacing w:after="160" w:before="0"/>
        <w:jc w:val="both"/>
      </w:pPr>
      <w:r>
        <w:rPr>
          <w:rFonts w:ascii="Arial" w:cs="Arial" w:eastAsia="Arial" w:hAnsi="Arial"/>
          <w:sz w:val="22"/>
          <w:szCs w:val="22"/>
        </w:rPr>
        <w:t xml:space="preserve">La magnitud del delta AUC entre NB07 y NB08 —8 puntos, de 0,905 a nivel nocturno a 0,821 a 5 min— es coherente con la dificultad inherente de la tarea, y puede interpretarse en clave fisiológica. Los 8 puntos de diferencia reflejan la cantidad de señal predictiva que se pierde al no condicionar la predicción a la presencia del evento: cuando el evento ya está en curso, la caída de SpO₂ en tiempo real es la feature más informativa posible; cuando el evento aún no ha comenzado, esa señal no existe y el modelo debe apoyarse enteramente en la representación del estado del sistema —el fenotipo dinámico PAC, el historial acumulado de la noche y la posición temporal—. Que esa representación logre AUC = 0,821 sin la señal del evento es, desde esa perspectiva, el resultado central del capítulo.</w:t>
      </w:r>
    </w:p>
    <w:p>
      <w:pPr>
        <w:spacing w:after="80" w:before="240"/>
      </w:pPr>
      <w:r>
        <w:rPr>
          <w:rFonts w:ascii="Arial" w:cs="Arial" w:eastAsia="Arial" w:hAnsi="Arial"/>
          <w:b/>
          <w:bCs/>
          <w:color w:val="1E3A5F"/>
          <w:sz w:val="24"/>
          <w:szCs w:val="24"/>
        </w:rPr>
        <w:t xml:space="preserve">8.4.3  Importancia de features: qué informa al modelo</w:t>
      </w:r>
    </w:p>
    <w:p>
      <w:pPr>
        <w:spacing w:after="160" w:before="0"/>
        <w:jc w:val="both"/>
      </w:pPr>
      <w:r>
        <w:rPr>
          <w:rFonts w:ascii="Arial" w:cs="Arial" w:eastAsia="Arial" w:hAnsi="Arial"/>
          <w:sz w:val="22"/>
          <w:szCs w:val="22"/>
        </w:rPr>
        <w:t xml:space="preserve">La Figura 8.3 muestra la importancia de features por horizonte (gain del modelo LightGBM entrenado sobre el corpus completo, no LOPO-CV). Los resultados revelan una jerarquía consistente con una narrativa fisiológica coherente.</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8.3. </w:t>
      </w:r>
      <w:r>
        <w:rPr>
          <w:rFonts w:ascii="Arial" w:cs="Arial" w:eastAsia="Arial" w:hAnsi="Arial"/>
          <w:i/>
          <w:iCs/>
          <w:sz w:val="19"/>
          <w:szCs w:val="19"/>
        </w:rPr>
        <w:t xml:space="preserve">Importancia de features LightGBM por horizonte (gain, modelo completo). </w:t>
      </w:r>
      <w:r>
        <w:rPr>
          <w:rFonts w:ascii="Arial" w:cs="Arial" w:eastAsia="Arial" w:hAnsi="Arial"/>
          <w:sz w:val="19"/>
          <w:szCs w:val="19"/>
        </w:rPr>
        <w:t xml:space="preserve">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pPr>
        <w:spacing w:after="160" w:before="0"/>
        <w:jc w:val="both"/>
      </w:pPr>
      <w:r>
        <w:rPr>
          <w:rFonts w:ascii="Arial" w:cs="Arial" w:eastAsia="Arial" w:hAnsi="Arial"/>
          <w:sz w:val="22"/>
          <w:szCs w:val="22"/>
        </w:rP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pPr>
        <w:spacing w:after="160" w:before="0"/>
        <w:jc w:val="both"/>
      </w:pPr>
      <w:r>
        <w:rPr>
          <w:rFonts w:ascii="Arial" w:cs="Arial" w:eastAsia="Arial" w:hAnsi="Arial"/>
          <w:sz w:val="22"/>
          <w:szCs w:val="22"/>
        </w:rPr>
        <w:t xml:space="preserve">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pPr>
        <w:spacing w:after="80" w:before="240"/>
      </w:pPr>
      <w:r>
        <w:rPr>
          <w:rFonts w:ascii="Arial" w:cs="Arial" w:eastAsia="Arial" w:hAnsi="Arial"/>
          <w:b/>
          <w:bCs/>
          <w:color w:val="1E3A5F"/>
          <w:sz w:val="24"/>
          <w:szCs w:val="24"/>
        </w:rPr>
        <w:t xml:space="preserve">8.4.4  Estabilidad inter-paciente: AUC por fold LOPO-CV</w:t>
      </w:r>
    </w:p>
    <w:p>
      <w:pPr>
        <w:spacing w:after="160" w:before="0"/>
        <w:jc w:val="both"/>
      </w:pPr>
      <w:r>
        <w:rPr>
          <w:rFonts w:ascii="Arial" w:cs="Arial" w:eastAsia="Arial" w:hAnsi="Arial"/>
          <w:sz w:val="22"/>
          <w:szCs w:val="22"/>
        </w:rPr>
        <w:t xml:space="preserve">La Tabla 8.5 y la Figura 8.4 muestran la estabilidad del AUC en los ocho folds del LOPO-CV para LightGBM.</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8.5. </w:t>
      </w:r>
      <w:r>
        <w:rPr>
          <w:rFonts w:ascii="Arial" w:cs="Arial" w:eastAsia="Arial" w:hAnsi="Arial"/>
          <w:i/>
          <w:iCs/>
          <w:sz w:val="19"/>
          <w:szCs w:val="19"/>
        </w:rPr>
        <w:t xml:space="preserve">Estabilidad inter-fold del AUC de LightGBM en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medio</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Desv. estándar (±)</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Rango observado</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0,80 – 0,87</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0,79 – 0,86</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0,029</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 – 0,85</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0,032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0,73 – 0,84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La desviación estándar menor a 3 puntos en todos los horizontes indica que el modelo generaliza de forma consistente entre los 8 pacientes de la cohorte, a pesar de las diferencias de 20× en prevalencia inter-paciente (§8.3).</w:t>
      </w:r>
    </w:p>
    <w:p>
      <w:pPr>
        <w:spacing w:after="160" w:before="0"/>
      </w:pPr>
      <w:r>
        <w:rPr>
          <w:rFonts w:ascii="Arial" w:cs="Arial" w:eastAsia="Arial" w:hAnsi="Arial"/>
        </w:rPr>
        <w:t xml:space="preserve"/>
      </w:r>
    </w:p>
    <w:p>
      <w:pPr>
        <w:spacing w:after="80" w:before="120"/>
        <w:jc w:val="center"/>
      </w:pPr>
      <w:r>
        <w:drawing>
          <wp:inline distT="0" distB="0" distL="0" distR="0">
            <wp:extent cx="3810000" cy="2657475"/>
            <wp:effectExtent t="0" r="0" b="0" l="0"/>
            <wp:docPr id="1"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574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8.4. </w:t>
      </w:r>
      <w:r>
        <w:rPr>
          <w:rFonts w:ascii="Arial" w:cs="Arial" w:eastAsia="Arial" w:hAnsi="Arial"/>
          <w:i/>
          <w:iCs/>
          <w:sz w:val="19"/>
          <w:szCs w:val="19"/>
        </w:rPr>
        <w:t xml:space="preserve">AUC por paciente y horizonte (LOPO-CV, LightGBM). </w:t>
      </w:r>
      <w:r>
        <w:rPr>
          <w:rFonts w:ascii="Arial" w:cs="Arial" w:eastAsia="Arial" w:hAnsi="Arial"/>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(0,86 a 2 min), lo que confirma que el modelo captura señal fisiológica genuina independientemente de la distribución de clase.</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pPr>
        <w:spacing w:after="160" w:before="0"/>
        <w:jc w:val="both"/>
      </w:pPr>
      <w:r>
        <w:rPr>
          <w:rFonts w:ascii="Arial" w:cs="Arial" w:eastAsia="Arial" w:hAnsi="Arial"/>
          <w:sz w:val="22"/>
          <w:szCs w:val="22"/>
        </w:rPr>
        <w:t xml:space="preserve">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8.5  Análisis operacional: horizonte óptimo y umbral de activación</w:t>
      </w:r>
    </w:p>
    <w:p>
      <w:pPr>
        <w:spacing w:after="160" w:before="0"/>
        <w:jc w:val="both"/>
      </w:pPr>
      <w:r>
        <w:rPr>
          <w:rFonts w:ascii="Arial" w:cs="Arial" w:eastAsia="Arial" w:hAnsi="Arial"/>
          <w:sz w:val="22"/>
          <w:szCs w:val="22"/>
        </w:rPr>
        <w:t xml:space="preserve">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8.6. </w:t>
      </w:r>
      <w:r>
        <w:rPr>
          <w:rFonts w:ascii="Arial" w:cs="Arial" w:eastAsia="Arial" w:hAnsi="Arial"/>
          <w:i/>
          <w:iCs/>
          <w:sz w:val="19"/>
          <w:szCs w:val="19"/>
        </w:rPr>
        <w:t xml:space="preserve">Métricas operacionales en el umbral de Youden óptimo por horizonte (LightGBM, LOPO-CV).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4"/>
        <w:gridCol w:w="1504"/>
        <w:gridCol w:w="1504"/>
        <w:gridCol w:w="1504"/>
        <w:gridCol w:w="1505"/>
      </w:tblGrid>
      <w:tr>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Umbral Youden</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Sensibilidad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Especificidad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Precisión (PPV)</w:t>
            </w:r>
          </w:p>
        </w:tc>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Interpretación</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0,82</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0,70</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9,6 %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10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0,459</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20,1 %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5 alarmas es real</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0,473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0,69</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29,8 %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0,465</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0,68</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0,71</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35,4 %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Umbral de Youden: maximiza Sensibilidad + Especificidad − 1 sobre el conjunto de validación LOPO-CV. PPV = Valor Predictivo Positivo (precisión). Origen: NB08, LightGBM.</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8.5. </w:t>
      </w:r>
      <w:r>
        <w:rPr>
          <w:rFonts w:ascii="Arial" w:cs="Arial" w:eastAsia="Arial" w:hAnsi="Arial"/>
          <w:i/>
          <w:iCs/>
          <w:sz w:val="19"/>
          <w:szCs w:val="19"/>
        </w:rPr>
        <w:t xml:space="preserve">Análisis operacional: umbral clínico por horizonte (LightGBM, LOPO-CV). </w:t>
      </w:r>
      <w:r>
        <w:rPr>
          <w:rFonts w:ascii="Arial" w:cs="Arial" w:eastAsia="Arial" w:hAnsi="Arial"/>
          <w:sz w:val="19"/>
          <w:szCs w:val="19"/>
        </w:rPr>
        <w:t xml:space="preserve">Curvas de sensibilidad (línea sólida) y especificidad (línea discontinua) en función del umbral de probabilidad para cada horizonte. La línea punteada vertical señala el umbral de Youden óptimo. Para H = 5 min: umbral = 0,46, S = 0,75,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pPr>
        <w:spacing w:after="160" w:before="0"/>
        <w:jc w:val="both"/>
      </w:pPr>
      <w:r>
        <w:rPr>
          <w:rFonts w:ascii="Arial" w:cs="Arial" w:eastAsia="Arial" w:hAnsi="Arial"/>
          <w:sz w:val="22"/>
          <w:szCs w:val="22"/>
        </w:rPr>
        <w:t xml:space="preserve">Con horizonte H = 2 min, la sensibilidad es mayor (82 %) pero el PPV es del 10 %: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pPr>
        <w:spacing w:after="160" w:before="0"/>
        <w:jc w:val="both"/>
      </w:pPr>
      <w:r>
        <w:rPr>
          <w:rFonts w:ascii="Arial" w:cs="Arial" w:eastAsia="Arial" w:hAnsi="Arial"/>
          <w:sz w:val="22"/>
          <w:szCs w:val="22"/>
        </w:rPr>
        <w:t xml:space="preserve">Una estimación de la carga operacional de falsas alarmas con H = 5 min: con prevalencia del 8 % y especificidad del 74 %, el 26 % de las ventanas negativas activarían una alarma individual. En una noche de ~840 ventanas S con ~92 % de ventanas negativas, esto equivale a ~200 ventanas-alarma falsas por noche en el peor caso. Esta cifra, tomada en bruto, puede parecer prohibitiva; sin embargo, debe leerse junto con el concepto de período refractario de activación.</w:t>
      </w:r>
    </w:p>
    <w:p>
      <w:pPr>
        <w:spacing w:after="160" w:before="0"/>
        <w:jc w:val="both"/>
      </w:pPr>
      <w:r>
        <w:rPr>
          <w:rFonts w:ascii="Arial" w:cs="Arial" w:eastAsia="Arial" w:hAnsi="Arial"/>
          <w:sz w:val="22"/>
          <w:szCs w:val="22"/>
        </w:rPr>
        <w:t xml:space="preserve">En un sistema de estimulación nocturna continua, una vez que el estimulador se activa permanece en estado activo durante un tiempo mínimo W_block —la ventana de bloqueo post-activación— antes de que el sistema evalúe nuevamente la señal. Las alarmas que ocurren dentro de ese período se fusionan en un único episodio de activación, sin generar estimulaciones adicionales. Si W_block = 5 min (10 ventanas consecutivas de 30 s), el número esperado de episodios de activación falsa se reduce de ~200 ventanas-alarma a ~200 / 10 = ~20 episodios por noche —un nivel cualitativamente distinto y presumiblemente manejable para un sistema de uso crónico—. Con el mismo razonamiento, las ~51 ventanas de alarma verdadera (76 % de las ~67 ventanas positivas por noche) se consolidarían en ~5 episodios de activación real. La razón señal/alarma efectiva sería entonces ~5 activaciones reales frente a ~20 episodios falsos por noche, o 1 real cada 4 activaciones. La estimación precisa requiere análisis de simulación sobre las series de probabilidades predichas por el modelo para cada paciente, lo que queda como trabajo futuro; lo que el cálculo de primer orden establece es que el período refractario transforma el problema desde un régimen de alarmas individuales casi continuas a un régimen de episodios discretos con estructura temporal.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8.6  Implicancias para la estimulación eléctrica transcutánea</w:t>
      </w:r>
    </w:p>
    <w:p>
      <w:pPr>
        <w:spacing w:after="160" w:before="0"/>
        <w:jc w:val="both"/>
      </w:pPr>
      <w:r>
        <w:rPr>
          <w:rFonts w:ascii="Arial" w:cs="Arial" w:eastAsia="Arial" w:hAnsi="Arial"/>
          <w:sz w:val="22"/>
          <w:szCs w:val="22"/>
        </w:rPr>
        <w:t xml:space="preserve">El módulo NB08 fue diseñado con un fin clínico específico: habilitar la activación adaptativa del estimulador eléctrico transcutáneo del SOMNI 6000 antes de que un evento severo comience. Esta sección discute las implicancias del análisis para ese objetivo.</w:t>
      </w:r>
    </w:p>
    <w:p>
      <w:pPr>
        <w:spacing w:after="80" w:before="240"/>
      </w:pPr>
      <w:r>
        <w:rPr>
          <w:rFonts w:ascii="Arial" w:cs="Arial" w:eastAsia="Arial" w:hAnsi="Arial"/>
          <w:b/>
          <w:bCs/>
          <w:color w:val="1E3A5F"/>
          <w:sz w:val="24"/>
          <w:szCs w:val="24"/>
        </w:rPr>
        <w:t xml:space="preserve">8.6.1  La cadena de decisión de activación</w:t>
      </w:r>
    </w:p>
    <w:p>
      <w:pPr>
        <w:spacing w:after="160" w:before="0"/>
        <w:jc w:val="both"/>
      </w:pPr>
      <w:r>
        <w:rPr>
          <w:rFonts w:ascii="Arial" w:cs="Arial" w:eastAsia="Arial" w:hAnsi="Arial"/>
          <w:sz w:val="22"/>
          <w:szCs w:val="22"/>
        </w:rPr>
        <w:t xml:space="preserve">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Incluso asumiendo latencias de procesamiento en el dispositivo (0–5 s), transmisión Bluetooth (&lt; 1 s) y tiempo de reacción del sistema, el margen de anticipación es suficiente para que el estímulo eléctrico inicie su efecto autonómico antes de la ventana crítica del evento.</w:t>
      </w:r>
    </w:p>
    <w:p>
      <w:pPr>
        <w:spacing w:after="80" w:before="240"/>
      </w:pPr>
      <w:r>
        <w:rPr>
          <w:rFonts w:ascii="Arial" w:cs="Arial" w:eastAsia="Arial" w:hAnsi="Arial"/>
          <w:b/>
          <w:bCs/>
          <w:color w:val="1E3A5F"/>
          <w:sz w:val="24"/>
          <w:szCs w:val="24"/>
        </w:rPr>
        <w:t xml:space="preserve">8.6.2  La heterogeneidad como barrera principal</w:t>
      </w:r>
    </w:p>
    <w:p>
      <w:pPr>
        <w:spacing w:after="160" w:before="0"/>
        <w:jc w:val="both"/>
      </w:pPr>
      <w:r>
        <w:rPr>
          <w:rFonts w:ascii="Arial" w:cs="Arial" w:eastAsia="Arial" w:hAnsi="Arial"/>
          <w:sz w:val="22"/>
          <w:szCs w:val="22"/>
        </w:rPr>
        <w:t xml:space="preserve">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pPr>
        <w:spacing w:after="80" w:before="240"/>
      </w:pPr>
      <w:r>
        <w:rPr>
          <w:rFonts w:ascii="Arial" w:cs="Arial" w:eastAsia="Arial" w:hAnsi="Arial"/>
          <w:b/>
          <w:bCs/>
          <w:color w:val="1E3A5F"/>
          <w:sz w:val="24"/>
          <w:szCs w:val="24"/>
        </w:rPr>
        <w:t xml:space="preserve">8.6.3  Lo que establece NB08 y lo que queda pendiente</w:t>
      </w:r>
    </w:p>
    <w:p>
      <w:pPr>
        <w:spacing w:after="160" w:before="0"/>
        <w:jc w:val="both"/>
      </w:pPr>
      <w:r>
        <w:rPr>
          <w:rFonts w:ascii="Arial" w:cs="Arial" w:eastAsia="Arial" w:hAnsi="Arial"/>
          <w:sz w:val="22"/>
          <w:szCs w:val="22"/>
        </w:rPr>
        <w:t xml:space="preserve">Los resultados de NB08 establecen la factibilidad analítica de la predicción prospectiva: el estado fisiológico PAC transporta información predictiva sostenida a 2–15 min que 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8.7  Limitaciones</w:t>
      </w:r>
    </w:p>
    <w:p>
      <w:pPr>
        <w:spacing w:after="160" w:before="0"/>
        <w:jc w:val="both"/>
      </w:pPr>
      <w:r>
        <w:rPr>
          <w:rFonts w:ascii="Arial" w:cs="Arial" w:eastAsia="Arial" w:hAnsi="Arial"/>
          <w:sz w:val="22"/>
          <w:szCs w:val="22"/>
        </w:rPr>
        <w:t xml:space="preserve">Los resultados de este capítulo deben interpretarse en el contexto de las siguientes limitaciones, presentadas en orden de impacto estimado.</w:t>
      </w:r>
    </w:p>
    <w:p>
      <w:pPr>
        <w:spacing w:after="80" w:before="240"/>
      </w:pPr>
      <w:r>
        <w:rPr>
          <w:rFonts w:ascii="Arial" w:cs="Arial" w:eastAsia="Arial" w:hAnsi="Arial"/>
          <w:b/>
          <w:bCs/>
          <w:color w:val="1E3A5F"/>
          <w:sz w:val="24"/>
          <w:szCs w:val="24"/>
        </w:rPr>
        <w:t xml:space="preserve">8.7.1  Tamaño de muestra</w:t>
      </w:r>
    </w:p>
    <w:p>
      <w:pPr>
        <w:spacing w:after="160" w:before="0"/>
        <w:jc w:val="both"/>
      </w:pPr>
      <w:r>
        <w:rPr>
          <w:rFonts w:ascii="Arial" w:cs="Arial" w:eastAsia="Arial" w:hAnsi="Arial"/>
          <w:sz w:val="22"/>
          <w:szCs w:val="22"/>
        </w:rPr>
        <w:t xml:space="preserve">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pPr>
        <w:spacing w:after="80" w:before="240"/>
      </w:pPr>
      <w:r>
        <w:rPr>
          <w:rFonts w:ascii="Arial" w:cs="Arial" w:eastAsia="Arial" w:hAnsi="Arial"/>
          <w:b/>
          <w:bCs/>
          <w:color w:val="1E3A5F"/>
          <w:sz w:val="24"/>
          <w:szCs w:val="24"/>
        </w:rPr>
        <w:t xml:space="preserve">8.7.2  Heterogeneidad no modelada</w:t>
      </w:r>
    </w:p>
    <w:p>
      <w:pPr>
        <w:spacing w:after="160" w:before="0"/>
        <w:jc w:val="both"/>
      </w:pPr>
      <w:r>
        <w:rPr>
          <w:rFonts w:ascii="Arial" w:cs="Arial" w:eastAsia="Arial" w:hAnsi="Arial"/>
          <w:sz w:val="22"/>
          <w:szCs w:val="22"/>
        </w:rPr>
        <w:t xml:space="preserve">La variación de 20× en la prevalencia inter-paciente implica que el modelo operaría con parámetros inadecuados para cualquier paciente individual en los extremos de la distribución. Un sistema de activación clínico requiere calibración individualizada.</w:t>
      </w:r>
    </w:p>
    <w:p>
      <w:pPr>
        <w:spacing w:after="80" w:before="240"/>
      </w:pPr>
      <w:r>
        <w:rPr>
          <w:rFonts w:ascii="Arial" w:cs="Arial" w:eastAsia="Arial" w:hAnsi="Arial"/>
          <w:b/>
          <w:bCs/>
          <w:color w:val="1E3A5F"/>
          <w:sz w:val="24"/>
          <w:szCs w:val="24"/>
        </w:rPr>
        <w:t xml:space="preserve">8.7.3  Circularidad potencial de las representaciones PAC</w:t>
      </w:r>
    </w:p>
    <w:p>
      <w:pPr>
        <w:spacing w:after="160" w:before="0"/>
        <w:jc w:val="both"/>
      </w:pPr>
      <w:r>
        <w:rPr>
          <w:rFonts w:ascii="Arial" w:cs="Arial" w:eastAsia="Arial" w:hAnsi="Arial"/>
          <w:sz w:val="22"/>
          <w:szCs w:val="22"/>
        </w:rPr>
        <w:t xml:space="preserve">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w:t>
      </w:r>
    </w:p>
    <w:p>
      <w:pPr>
        <w:spacing w:after="80" w:before="240"/>
      </w:pPr>
      <w:r>
        <w:rPr>
          <w:rFonts w:ascii="Arial" w:cs="Arial" w:eastAsia="Arial" w:hAnsi="Arial"/>
          <w:b/>
          <w:bCs/>
          <w:color w:val="1E3A5F"/>
          <w:sz w:val="24"/>
          <w:szCs w:val="24"/>
        </w:rPr>
        <w:t xml:space="preserve">8.7.4  Calibración de probabilidades y Average Precision</w:t>
      </w:r>
    </w:p>
    <w:p>
      <w:pPr>
        <w:spacing w:after="160" w:before="0"/>
        <w:jc w:val="both"/>
      </w:pPr>
      <w:r>
        <w:rPr>
          <w:rFonts w:ascii="Arial" w:cs="Arial" w:eastAsia="Arial" w:hAnsi="Arial"/>
          <w:sz w:val="22"/>
          <w:szCs w:val="22"/>
        </w:rPr>
        <w:t xml:space="preserve">La Figura 8.6 muestra el perfil de riesgo predicho a lo largo de la noche y la calibración del modelo para H = 5 min.</w:t>
      </w:r>
    </w:p>
    <w:p>
      <w:pPr>
        <w:spacing w:after="160" w:before="0"/>
      </w:pPr>
      <w:r>
        <w:rPr>
          <w:rFonts w:ascii="Arial" w:cs="Arial" w:eastAsia="Arial" w:hAnsi="Arial"/>
        </w:rPr>
        <w:t xml:space="preserve"/>
      </w:r>
    </w:p>
    <w:p>
      <w:pPr>
        <w:spacing w:after="80" w:before="120"/>
        <w:jc w:val="center"/>
      </w:pPr>
      <w:r>
        <w:drawing>
          <wp:inline distT="0" distB="0" distL="0" distR="0">
            <wp:extent cx="5905500" cy="2105025"/>
            <wp:effectExtent t="0" r="0" b="0" l="0"/>
            <wp:docPr id="1"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0502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8.6. </w:t>
      </w:r>
      <w:r>
        <w:rPr>
          <w:rFonts w:ascii="Arial" w:cs="Arial" w:eastAsia="Arial" w:hAnsi="Arial"/>
          <w:i/>
          <w:iCs/>
          <w:sz w:val="19"/>
          <w:szCs w:val="19"/>
        </w:rPr>
        <w:t xml:space="preserve">Perfil de riesgo temporal y calibración del modelo (H = 5 min, LightGBM). </w:t>
      </w:r>
      <w:r>
        <w:rPr>
          <w:rFonts w:ascii="Arial" w:cs="Arial" w:eastAsia="Arial" w:hAnsi="Arial"/>
          <w:sz w:val="19"/>
          <w:szCs w:val="19"/>
        </w:rPr>
        <w:t xml:space="preserve">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pPr>
        <w:spacing w:after="160" w:before="0"/>
        <w:jc w:val="both"/>
      </w:pPr>
      <w:r>
        <w:rPr>
          <w:rFonts w:ascii="Arial" w:cs="Arial" w:eastAsia="Arial" w:hAnsi="Arial"/>
          <w:sz w:val="22"/>
          <w:szCs w:val="22"/>
        </w:rPr>
        <w:t xml:space="preserve">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Un sistema de activación clínico que utilice las probabilidades del modelo en términos absolutos requeriría una etapa explícita de calibración posterior (por ejemplo, mediante regresión logística isotónica o Platt scaling sobre el conjunto de validación de cada fold).</w:t>
      </w:r>
    </w:p>
    <w:p>
      <w:pPr>
        <w:spacing w:after="160" w:before="0"/>
        <w:jc w:val="both"/>
      </w:pPr>
      <w:r>
        <w:rPr>
          <w:rFonts w:ascii="Arial" w:cs="Arial" w:eastAsia="Arial" w:hAnsi="Arial"/>
          <w:sz w:val="22"/>
          <w:szCs w:val="22"/>
        </w:rPr>
        <w:t xml:space="preserve">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AP es la métrica más informativa para decisiones operacionales (Wasserstein &amp; Lazar, 2016).</w:t>
      </w:r>
    </w:p>
    <w:p>
      <w:pPr>
        <w:spacing w:after="80" w:before="240"/>
      </w:pPr>
      <w:r>
        <w:rPr>
          <w:rFonts w:ascii="Arial" w:cs="Arial" w:eastAsia="Arial" w:hAnsi="Arial"/>
          <w:b/>
          <w:bCs/>
          <w:color w:val="1E3A5F"/>
          <w:sz w:val="24"/>
          <w:szCs w:val="24"/>
        </w:rPr>
        <w:t xml:space="preserve">8.7.5  Ausencia de validación externa y feature morph_mean</w:t>
      </w:r>
    </w:p>
    <w:p>
      <w:pPr>
        <w:spacing w:after="160" w:before="0"/>
        <w:jc w:val="both"/>
      </w:pPr>
      <w:r>
        <w:rPr>
          <w:rFonts w:ascii="Arial" w:cs="Arial" w:eastAsia="Arial" w:hAnsi="Arial"/>
          <w:sz w:val="22"/>
          <w:szCs w:val="22"/>
        </w:rPr>
        <w:t xml:space="preserve">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8.8  Conclusión y bridge al Capítulo 9</w:t>
      </w:r>
    </w:p>
    <w:p>
      <w:pPr>
        <w:spacing w:after="160" w:before="0"/>
        <w:jc w:val="both"/>
      </w:pPr>
      <w:r>
        <w:rPr>
          <w:rFonts w:ascii="Arial" w:cs="Arial" w:eastAsia="Arial" w:hAnsi="Arial"/>
          <w:sz w:val="22"/>
          <w:szCs w:val="22"/>
        </w:rPr>
        <w:t xml:space="preserve">El módulo NB08 cierra el arco analítico del Proyecto APNEA.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pPr>
        <w:spacing w:after="160" w:before="0"/>
        <w:jc w:val="both"/>
      </w:pPr>
      <w:r>
        <w:rPr>
          <w:rFonts w:ascii="Arial" w:cs="Arial" w:eastAsia="Arial" w:hAnsi="Arial"/>
          <w:sz w:val="22"/>
          <w:szCs w:val="22"/>
        </w:rPr>
        <w:t xml:space="preserve">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pPr>
        <w:spacing w:after="160" w:before="0"/>
        <w:jc w:val="both"/>
      </w:pPr>
      <w:r>
        <w:rPr>
          <w:rFonts w:ascii="Arial" w:cs="Arial" w:eastAsia="Arial" w:hAnsi="Arial"/>
          <w:sz w:val="22"/>
          <w:szCs w:val="22"/>
        </w:rPr>
        <w:t xml:space="preserve">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pPr>
        <w:spacing w:after="160" w:before="0"/>
        <w:jc w:val="both"/>
      </w:pPr>
      <w:r>
        <w:rPr>
          <w:rFonts w:ascii="Arial" w:cs="Arial" w:eastAsia="Arial" w:hAnsi="Arial"/>
          <w:sz w:val="22"/>
          <w:szCs w:val="22"/>
        </w:rPr>
        <w:t xml:space="preserve">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pPr>
        <w:spacing w:after="160" w:before="0"/>
        <w:jc w:val="both"/>
      </w:pPr>
      <w:r>
        <w:rPr>
          <w:rFonts w:ascii="Arial" w:cs="Arial" w:eastAsia="Arial" w:hAnsi="Arial"/>
          <w:sz w:val="22"/>
          <w:szCs w:val="22"/>
        </w:rPr>
        <w:t xml:space="preserve">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pPr>
        <w:spacing w:after="160" w:before="0"/>
      </w:pPr>
      <w:r>
        <w:rPr>
          <w:rFonts w:ascii="Arial" w:cs="Arial" w:eastAsia="Arial" w:hAnsi="Arial"/>
        </w:rPr>
        <w:t xml:space="preserve"/>
      </w:r>
    </w:p>
    <w:p>
      <w:pPr>
        <w:pBdr>
          <w:left w:val="single" w:color="1E3A5F" w:sz="12" w:space="8"/>
        </w:pBdr>
        <w:spacing w:after="120" w:before="160"/>
        <w:ind w:left="360"/>
      </w:pPr>
      <w:r>
        <w:rPr>
          <w:rFonts w:ascii="Arial" w:cs="Arial" w:eastAsia="Arial" w:hAnsi="Arial"/>
          <w:b/>
          <w:bCs/>
          <w:color w:val="1E3A5F"/>
          <w:sz w:val="24"/>
          <w:szCs w:val="24"/>
        </w:rPr>
        <w:t xml:space="preserve">Bridge al Capítulo 9 — Discusión</w:t>
      </w:r>
    </w:p>
    <w:p>
      <w:pPr>
        <w:spacing w:after="240" w:before="0"/>
        <w:ind w:left="360"/>
        <w:jc w:val="both"/>
      </w:pPr>
      <w:r>
        <w:rPr>
          <w:rFonts w:ascii="Arial" w:cs="Arial" w:eastAsia="Arial" w:hAnsi="Arial"/>
          <w:sz w:val="22"/>
          <w:szCs w:val="22"/>
        </w:rPr>
        <w:t xml:space="preserve">El Capítulo 9 pone en diálogo el arco completo del Proyecto APNEA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Referencias</w:t>
      </w:r>
    </w:p>
    <w:p>
      <w:pPr>
        <w:spacing w:after="160" w:before="0"/>
        <w:ind w:left="720" w:hanging="72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before="0"/>
        <w:ind w:left="720" w:hanging="72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before="0"/>
        <w:ind w:left="720" w:hanging="72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60" w:before="0"/>
        <w:ind w:left="720" w:hanging="720"/>
        <w:jc w:val="both"/>
      </w:pPr>
      <w:r>
        <w:rPr>
          <w:rFonts w:ascii="Arial" w:cs="Arial" w:eastAsia="Arial" w:hAnsi="Arial"/>
          <w:sz w:val="22"/>
          <w:szCs w:val="22"/>
        </w:rPr>
        <w:t xml:space="preserve">Inza, R., et al. (en preparación). Predicción prospectiva de eventos de desaturación severa con horizonte temporal clínico mediante representaciones PAC. [T4]</w:t>
      </w:r>
    </w:p>
    <w:p>
      <w:pPr>
        <w:spacing w:after="160" w:before="0"/>
        <w:ind w:left="720" w:hanging="720"/>
        <w:jc w:val="both"/>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w:t>
      </w:r>
      <w:r>
        <w:rPr>
          <w:rFonts w:ascii="Arial" w:cs="Arial" w:eastAsia="Arial" w:hAnsi="Arial"/>
          <w:sz w:val="22"/>
          <w:szCs w:val="22"/>
        </w:rPr>
        <w:t xml:space="preserve">, 30, 3146–3154.</w:t>
      </w:r>
    </w:p>
    <w:p>
      <w:pPr>
        <w:spacing w:after="160" w:before="0"/>
        <w:ind w:left="720" w:hanging="720"/>
        <w:jc w:val="both"/>
      </w:pPr>
      <w:r>
        <w:rPr>
          <w:rFonts w:ascii="Arial" w:cs="Arial" w:eastAsia="Arial" w:hAnsi="Arial"/>
          <w:sz w:val="22"/>
          <w:szCs w:val="22"/>
        </w:rPr>
        <w:t xml:space="preserve">Lévy, P., Kohler, M., McNicholas, W. T., Barbé, F., McEvoy, R. D., Somers, V. K., … &amp; Pépin, J.-L. (2015). Obstructive sleep apnoea syndrome. </w:t>
      </w:r>
      <w:r>
        <w:rPr>
          <w:rFonts w:ascii="Arial" w:cs="Arial" w:eastAsia="Arial" w:hAnsi="Arial"/>
          <w:i/>
          <w:iCs/>
          <w:sz w:val="22"/>
          <w:szCs w:val="22"/>
        </w:rPr>
        <w:t xml:space="preserve">Nature Reviews Disease Primers</w:t>
      </w:r>
      <w:r>
        <w:rPr>
          <w:rFonts w:ascii="Arial" w:cs="Arial" w:eastAsia="Arial" w:hAnsi="Arial"/>
          <w:sz w:val="22"/>
          <w:szCs w:val="22"/>
        </w:rPr>
        <w:t xml:space="preserve">, 1, 15015. https://doi.org/10.1038/nrdp.2015.15</w:t>
      </w:r>
    </w:p>
    <w:p>
      <w:pPr>
        <w:spacing w:after="160" w:before="0"/>
        <w:ind w:left="720" w:hanging="720"/>
        <w:jc w:val="both"/>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https://doi.org/10.1080/00031305.2016.1154107</w:t>
      </w:r>
    </w:p>
    <w:p>
      <w:pPr>
        <w:spacing w:after="120" w:before="0"/>
      </w:pPr>
      <w:r>
        <w:rPr>
          <w:rFonts w:ascii="Arial" w:cs="Arial" w:eastAsia="Arial" w:hAnsi="Arial"/>
        </w:rP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after="0" w:before="8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80" w:before="0"/>
    </w:pPr>
    <w:r>
      <w:rPr>
        <w:rFonts w:ascii="Arial" w:cs="Arial" w:eastAsia="Arial" w:hAnsi="Arial"/>
        <w:color w:val="6B7280"/>
        <w:sz w:val="16"/>
        <w:szCs w:val="16"/>
      </w:rPr>
      <w:t xml:space="preserve">Proyecto APNEA · Tesis de Maestría</w:t>
    </w:r>
    <w:r>
      <w:rPr>
        <w:rFonts w:ascii="Arial" w:cs="Arial" w:eastAsia="Arial" w:hAnsi="Arial"/>
      </w:rPr>
      <w:t xml:space="preserve">	</w:t>
    </w:r>
    <w:r>
      <w:rPr>
        <w:rFonts w:ascii="Arial" w:cs="Arial" w:eastAsia="Arial" w:hAnsi="Arial"/>
        <w:i/>
        <w:iCs/>
        <w:color w:val="6B7280"/>
        <w:sz w:val="16"/>
        <w:szCs w:val="16"/>
      </w:rPr>
      <w:t xml:space="preserve">Capítulo 8 — Predicción prospectiva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43b05e7cda9471aa0e09eda6bcf3c13e56b24.png"/><Relationship Id="rId10" Type="http://schemas.openxmlformats.org/officeDocument/2006/relationships/image" Target="media/697a9165f74a479e9b95883f2aeba9f61a9f2655.png"/><Relationship Id="rId11" Type="http://schemas.openxmlformats.org/officeDocument/2006/relationships/image" Target="media/d38b573c6f7a6ce24fff7004606b545300e0b648.png"/><Relationship Id="rId12" Type="http://schemas.openxmlformats.org/officeDocument/2006/relationships/image" Target="media/3e1728056a56771ab902b5539b8a554b782d0ee2.png"/><Relationship Id="rId13" Type="http://schemas.openxmlformats.org/officeDocument/2006/relationships/image" Target="media/afbd58a729fdee7c19e6a1b6c37c0992cf9d81cf.png"/><Relationship Id="rId14" Type="http://schemas.openxmlformats.org/officeDocument/2006/relationships/image" Target="media/ff33894203c1de4572d33c680fb8cdb9ac5eec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2026-05-27T22:20:49.891Z</dcterms:created>
  <dcterms:modified xsi:type="dcterms:W3CDTF">2026-05-27T22:20:49.892Z</dcterms:modified>
</cp:coreProperties>
</file>

<file path=docProps/custom.xml><?xml version="1.0" encoding="utf-8"?>
<Properties xmlns="http://schemas.openxmlformats.org/officeDocument/2006/custom-properties" xmlns:vt="http://schemas.openxmlformats.org/officeDocument/2006/docPropsVTypes"/>
</file>