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9</w:t>
      </w:r>
    </w:p>
    <w:p>
      <w:pPr>
        <w:spacing w:after="80" w:before="0"/>
      </w:pPr>
      <w:r>
        <w:rPr>
          <w:rFonts w:ascii="Aptos" w:cs="Aptos" w:eastAsia="Aptos" w:hAnsi="Aptos"/>
          <w:b/>
          <w:bCs/>
          <w:color w:val="1E3A5F"/>
          <w:sz w:val="36"/>
          <w:szCs w:val="36"/>
        </w:rPr>
        <w:t xml:space="preserve">Discusión</w:t>
      </w:r>
    </w:p>
    <w:p>
      <w:pPr>
        <w:spacing w:after="400" w:before="0"/>
      </w:pPr>
      <w:r>
        <w:rPr>
          <w:rFonts w:ascii="Aptos" w:cs="Aptos" w:eastAsia="Aptos" w:hAnsi="Aptos"/>
          <w:color w:val="666666"/>
          <w:sz w:val="18"/>
          <w:szCs w:val="18"/>
        </w:rPr>
        <w:t xml:space="preserve">Versión 9  ·  Junio 2026</w:t>
      </w:r>
    </w:p>
    <w:p>
      <w:pPr>
        <w:spacing w:after="160" w:before="0" w:line="360"/>
        <w:jc w:val="both"/>
      </w:pPr>
      <w:r>
        <w:rPr>
          <w:rFonts w:ascii="Aptos" w:cs="Aptos" w:eastAsia="Aptos" w:hAnsi="Aptos"/>
          <w:b w:val="false"/>
          <w:bCs w:val="false"/>
          <w:sz w:val="24"/>
          <w:szCs w:val="24"/>
        </w:rPr>
        <w:t xml:space="preserve">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para otros, el Proyecto PAC es la primera fuente que los aborda a esta escala y con esta metodología.</w:t>
      </w:r>
    </w:p>
    <w:p>
      <w:pPr>
        <w:pStyle w:val="Heading1"/>
        <w:spacing w:after="120" w:before="320"/>
      </w:pPr>
      <w:r>
        <w:rPr>
          <w:rFonts w:ascii="Aptos" w:cs="Aptos" w:eastAsia="Aptos" w:hAnsi="Aptos"/>
          <w:b/>
          <w:bCs/>
          <w:color w:val="1E3A5F"/>
          <w:sz w:val="26"/>
          <w:szCs w:val="26"/>
        </w:rPr>
        <w:t xml:space="preserve">9.1  Índices de evento e índices agregados nocturnos</w:t>
      </w:r>
    </w:p>
    <w:p>
      <w:pPr>
        <w:spacing w:after="160" w:before="0" w:line="360"/>
        <w:jc w:val="both"/>
      </w:pPr>
      <w:r>
        <w:rPr>
          <w:rFonts w:ascii="Aptos" w:cs="Aptos" w:eastAsia="Aptos" w:hAnsi="Aptos"/>
          <w:b w:val="false"/>
          <w:bCs w:val="false"/>
          <w:sz w:val="24"/>
          <w:szCs w:val="24"/>
        </w:rPr>
        <w:t xml:space="preserve">La literatura reciente ha avanzado más allá del AHI y el ODI3 en la misma dirección que motiva este trabajo: Azarbarzin et al. (2019) demostraron que la carga hipóxica predice mortalidad cardiovascular independientemente del AHI en más de 7.000 pacientes; Sands et al. (2021) proponen descomponer el fenotipo del SAOS en cuatro rasgos fisiopatológicos independientes, cada uno variable independientemente del índice de frecuencia.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 La decisión de adoptar un umbral interno de ≥ 2 pp para la detección de EDOs —reservando el ODI3 para estratificación de severidad— responde a que el umbral clínico es una convención diagnóstica, no una frontera fisiológica: un evento de 2,5 pp tiene morfología y respuesta autonómica igualmente informativas que uno de 3,2 pp (Álvarez et al., 2022).</w:t>
      </w:r>
    </w:p>
    <w:p>
      <w:pPr>
        <w:pStyle w:val="Heading1"/>
        <w:spacing w:after="120" w:before="320"/>
      </w:pPr>
      <w:r>
        <w:rPr>
          <w:rFonts w:ascii="Aptos" w:cs="Aptos" w:eastAsia="Aptos" w:hAnsi="Aptos"/>
          <w:b/>
          <w:bCs/>
          <w:color w:val="1E3A5F"/>
          <w:sz w:val="26"/>
          <w:szCs w:val="26"/>
        </w:rPr>
        <w:t xml:space="preserve">9.2  Fenotipado morfológico de EDOs: morfotipos C1–C5 y el ARI en perspectiva</w:t>
      </w:r>
    </w:p>
    <w:p>
      <w:pPr>
        <w:pStyle w:val="Heading2"/>
        <w:spacing w:after="100" w:before="240"/>
      </w:pPr>
      <w:r>
        <w:rPr>
          <w:rFonts w:ascii="Aptos" w:cs="Aptos" w:eastAsia="Aptos" w:hAnsi="Aptos"/>
          <w:b/>
          <w:bCs/>
          <w:color w:val="1E3A5F"/>
          <w:sz w:val="23"/>
          <w:szCs w:val="23"/>
        </w:rPr>
        <w:t xml:space="preserve">9.2.1  Los morfotipos de curvas SpO₂ frente a la literatura</w:t>
      </w:r>
    </w:p>
    <w:p>
      <w:pPr>
        <w:spacing w:after="160" w:before="0" w:line="360"/>
        <w:jc w:val="both"/>
      </w:pPr>
      <w:r>
        <w:rPr>
          <w:rFonts w:ascii="Aptos" w:cs="Aptos" w:eastAsia="Aptos" w:hAnsi="Aptos"/>
          <w:b w:val="false"/>
          <w:bCs w:val="false"/>
          <w:sz w:val="24"/>
          <w:szCs w:val="24"/>
        </w:rPr>
        <w:t xml:space="preserve">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(6,1 %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pPr>
        <w:pStyle w:val="Heading2"/>
        <w:spacing w:after="100" w:before="240"/>
      </w:pPr>
      <w:r>
        <w:rPr>
          <w:rFonts w:ascii="Aptos" w:cs="Aptos" w:eastAsia="Aptos" w:hAnsi="Aptos"/>
          <w:b/>
          <w:bCs/>
          <w:color w:val="1E3A5F"/>
          <w:sz w:val="23"/>
          <w:szCs w:val="23"/>
        </w:rPr>
        <w:t xml:space="preserve">9.2.2  El ARI: una dimensión ortogonal a la severidad hipóxica</w:t>
      </w:r>
    </w:p>
    <w:p>
      <w:pPr>
        <w:spacing w:after="160" w:before="0" w:line="360"/>
        <w:jc w:val="both"/>
      </w:pPr>
      <w:r>
        <w:rPr>
          <w:rFonts w:ascii="Aptos" w:cs="Aptos" w:eastAsia="Aptos" w:hAnsi="Aptos"/>
          <w:b w:val="false"/>
          <w:bCs w:val="false"/>
          <w:sz w:val="24"/>
          <w:szCs w:val="24"/>
        </w:rPr>
        <w:t xml:space="preserve">El ARI es la contribución metodológica más original del Proyecto PAC. La ortogonalidad con el ODI3 (ρ = 0,034; n = 85.277 EDOs) implica que la respuesta autonómica cardíaca y motora de un evento es estadísticamente independiente de su frecuencia nocturna, con coherencia fisiopatológica directa: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pPr>
        <w:pStyle w:val="Heading1"/>
        <w:spacing w:after="120" w:before="320"/>
      </w:pPr>
      <w:r>
        <w:rPr>
          <w:rFonts w:ascii="Aptos" w:cs="Aptos" w:eastAsia="Aptos" w:hAnsi="Aptos"/>
          <w:b/>
          <w:bCs/>
          <w:color w:val="1E3A5F"/>
          <w:sz w:val="26"/>
          <w:szCs w:val="26"/>
        </w:rPr>
        <w:t xml:space="preserve">9.3  PAC States: la fisiología nocturna como sistema dinámico multiescala</w:t>
      </w:r>
    </w:p>
    <w:p>
      <w:pPr>
        <w:pStyle w:val="Heading2"/>
        <w:spacing w:after="100" w:before="240"/>
      </w:pPr>
      <w:r>
        <w:rPr>
          <w:rFonts w:ascii="Aptos" w:cs="Aptos" w:eastAsia="Aptos" w:hAnsi="Aptos"/>
          <w:b/>
          <w:bCs/>
          <w:color w:val="1E3A5F"/>
          <w:sz w:val="23"/>
          <w:szCs w:val="23"/>
        </w:rPr>
        <w:t xml:space="preserve">9.3.1  Representación del sueño como secuencia de estados</w:t>
      </w:r>
    </w:p>
    <w:p>
      <w:pPr>
        <w:spacing w:after="160" w:before="0" w:line="360"/>
        <w:jc w:val="both"/>
      </w:pPr>
      <w:r>
        <w:rPr>
          <w:rFonts w:ascii="Aptos" w:cs="Aptos" w:eastAsia="Aptos" w:hAnsi="Aptos"/>
          <w:b w:val="false"/>
          <w:bCs w:val="false"/>
          <w:sz w:val="24"/>
          <w:szCs w:val="24"/>
        </w:rPr>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pPr>
        <w:pStyle w:val="Heading2"/>
        <w:spacing w:after="100" w:before="240"/>
      </w:pPr>
      <w:r>
        <w:rPr>
          <w:rFonts w:ascii="Aptos" w:cs="Aptos" w:eastAsia="Aptos" w:hAnsi="Aptos"/>
          <w:b/>
          <w:bCs/>
          <w:color w:val="1E3A5F"/>
          <w:sz w:val="23"/>
          <w:szCs w:val="23"/>
        </w:rPr>
        <w:t xml:space="preserve">9.3.2  Especialización funcional y variabilidad intraindividual</w:t>
      </w:r>
    </w:p>
    <w:p>
      <w:pPr>
        <w:spacing w:after="160" w:before="0" w:line="360"/>
        <w:jc w:val="both"/>
      </w:pPr>
      <w:r>
        <w:rPr>
          <w:rFonts w:ascii="Aptos" w:cs="Aptos" w:eastAsia="Aptos" w:hAnsi="Aptos"/>
          <w:b w:val="false"/>
          <w:bCs w:val="false"/>
          <w:sz w:val="24"/>
          <w:szCs w:val="24"/>
        </w:rPr>
        <w:t xml:space="preserve">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del ARI entre los tres fenotipos nocturnos de severidad creciente (diferencia máxima &lt; 0,03): la reactividad es una propiedad estable del sistema cardiovascular del paciente que se expresa transversalmente a todo el perfil, no una función de la severidad nocturna.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pPr>
        <w:pStyle w:val="Heading1"/>
        <w:spacing w:after="120" w:before="320"/>
      </w:pPr>
      <w:r>
        <w:rPr>
          <w:rFonts w:ascii="Aptos" w:cs="Aptos" w:eastAsia="Aptos" w:hAnsi="Aptos"/>
          <w:b/>
          <w:bCs/>
          <w:color w:val="1E3A5F"/>
          <w:sz w:val="26"/>
          <w:szCs w:val="26"/>
        </w:rPr>
        <w:t xml:space="preserve">9.4  Acoplamiento morfotipo–estado: la estructura no aleatoria del riesgo nocturno</w:t>
      </w:r>
    </w:p>
    <w:p>
      <w:pPr>
        <w:spacing w:after="160" w:before="0" w:line="360"/>
        <w:jc w:val="both"/>
      </w:pPr>
      <w:r>
        <w:rPr>
          <w:rFonts w:ascii="Aptos" w:cs="Aptos" w:eastAsia="Aptos" w:hAnsi="Aptos"/>
          <w:b w:val="false"/>
          <w:bCs w:val="false"/>
          <w:sz w:val="24"/>
          <w:szCs w:val="24"/>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pPr>
        <w:pStyle w:val="Heading1"/>
        <w:spacing w:after="120" w:before="320"/>
      </w:pPr>
      <w:r>
        <w:rPr>
          <w:rFonts w:ascii="Aptos" w:cs="Aptos" w:eastAsia="Aptos" w:hAnsi="Aptos"/>
          <w:b/>
          <w:bCs/>
          <w:color w:val="1E3A5F"/>
          <w:sz w:val="26"/>
          <w:szCs w:val="26"/>
        </w:rPr>
        <w:t xml:space="preserve">9.5  Los modelos de predicción frente a la literatura</w:t>
      </w:r>
    </w:p>
    <w:p>
      <w:pPr>
        <w:spacing w:after="160" w:before="0" w:line="360"/>
        <w:jc w:val="both"/>
      </w:pPr>
      <w:r>
        <w:rPr>
          <w:rFonts w:ascii="Aptos" w:cs="Aptos" w:eastAsia="Aptos" w:hAnsi="Aptos"/>
          <w:b w:val="false"/>
          <w:bCs w:val="false"/>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pPr>
        <w:spacing w:after="160" w:before="0" w:line="360"/>
        <w:jc w:val="both"/>
      </w:pPr>
      <w:r>
        <w:rPr>
          <w:rFonts w:ascii="Aptos" w:cs="Aptos" w:eastAsia="Aptos" w:hAnsi="Aptos"/>
          <w:b w:val="false"/>
          <w:bCs w:val="false"/>
          <w:sz w:val="24"/>
          <w:szCs w:val="24"/>
        </w:rPr>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pPr>
        <w:pStyle w:val="Heading1"/>
        <w:spacing w:after="120" w:before="320"/>
      </w:pPr>
      <w:r>
        <w:rPr>
          <w:rFonts w:ascii="Aptos" w:cs="Aptos" w:eastAsia="Aptos" w:hAnsi="Aptos"/>
          <w:b/>
          <w:bCs/>
          <w:color w:val="1E3A5F"/>
          <w:sz w:val="26"/>
          <w:szCs w:val="26"/>
        </w:rPr>
        <w:t xml:space="preserve">9.6  Oximetría domiciliaria como plataforma de fenotipado frente al PSG</w:t>
      </w:r>
    </w:p>
    <w:p>
      <w:pPr>
        <w:spacing w:after="160" w:before="0" w:line="360"/>
        <w:jc w:val="both"/>
      </w:pPr>
      <w:r>
        <w:rPr>
          <w:rFonts w:ascii="Aptos" w:cs="Aptos" w:eastAsia="Aptos" w:hAnsi="Aptos"/>
          <w:b w:val="false"/>
          <w:bCs w:val="false"/>
          <w:sz w:val="24"/>
          <w:szCs w:val="24"/>
        </w:rPr>
        <w:t xml:space="preserve">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553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pPr>
        <w:pStyle w:val="Heading1"/>
        <w:spacing w:after="120" w:before="320"/>
      </w:pPr>
      <w:r>
        <w:rPr>
          <w:rFonts w:ascii="Aptos" w:cs="Aptos" w:eastAsia="Aptos" w:hAnsi="Aptos"/>
          <w:b/>
          <w:bCs/>
          <w:color w:val="1E3A5F"/>
          <w:sz w:val="26"/>
          <w:szCs w:val="26"/>
        </w:rPr>
        <w:t xml:space="preserve">9.7  Hacia la terapéutica automática del SAOS severo: condición algorítmica y agenda clínica</w:t>
      </w:r>
    </w:p>
    <w:p>
      <w:pPr>
        <w:spacing w:after="160" w:before="0" w:line="360"/>
        <w:jc w:val="both"/>
      </w:pPr>
      <w:r>
        <w:rPr>
          <w:rFonts w:ascii="Aptos" w:cs="Aptos" w:eastAsia="Aptos" w:hAnsi="Aptos"/>
          <w:b w:val="false"/>
          <w:bCs w:val="false"/>
          <w:sz w:val="24"/>
          <w:szCs w:val="24"/>
        </w:rPr>
        <w:t xml:space="preserve">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pPr>
        <w:spacing w:after="160" w:before="0" w:line="360"/>
        <w:jc w:val="both"/>
      </w:pPr>
      <w:r>
        <w:rPr>
          <w:rFonts w:ascii="Aptos" w:cs="Aptos" w:eastAsia="Aptos" w:hAnsi="Aptos"/>
          <w:b/>
          <w:bCs/>
          <w:sz w:val="24"/>
          <w:szCs w:val="24"/>
        </w:rPr>
        <w:t xml:space="preserve">La heterogeneidad inter-paciente como barrera principal.</w:t>
      </w:r>
      <w:r>
        <w:rPr>
          <w:rFonts w:ascii="Aptos" w:cs="Aptos" w:eastAsia="Aptos" w:hAnsi="Aptos"/>
          <w:b w:val="false"/>
          <w:bCs w:val="false"/>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pPr>
        <w:spacing w:after="160" w:before="0" w:line="360"/>
        <w:jc w:val="both"/>
      </w:pPr>
      <w:r>
        <w:rPr>
          <w:rFonts w:ascii="Aptos" w:cs="Aptos" w:eastAsia="Aptos" w:hAnsi="Aptos"/>
          <w:b/>
          <w:bCs/>
          <w:sz w:val="24"/>
          <w:szCs w:val="24"/>
        </w:rPr>
        <w:t xml:space="preserve">La circularidad PAC y el requisito de validación externa.</w:t>
      </w:r>
      <w:r>
        <w:rPr>
          <w:rFonts w:ascii="Aptos" w:cs="Aptos" w:eastAsia="Aptos" w:hAnsi="Aptos"/>
          <w:b w:val="false"/>
          <w:bCs w:val="false"/>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pPr>
        <w:spacing w:after="160" w:before="0" w:line="360"/>
        <w:jc w:val="both"/>
      </w:pPr>
      <w:r>
        <w:rPr>
          <w:rFonts w:ascii="Aptos" w:cs="Aptos" w:eastAsia="Aptos" w:hAnsi="Aptos"/>
          <w:b/>
          <w:bCs/>
          <w:sz w:val="24"/>
          <w:szCs w:val="24"/>
        </w:rPr>
        <w:t xml:space="preserve">El diseño del ensayo clínico.</w:t>
      </w:r>
      <w:r>
        <w:rPr>
          <w:rFonts w:ascii="Aptos" w:cs="Aptos" w:eastAsia="Aptos" w:hAnsi="Aptos"/>
          <w:b w:val="false"/>
          <w:bCs w:val="false"/>
          <w:sz w:val="24"/>
          <w:szCs w:val="24"/>
        </w:rPr>
        <w:t xml:space="preserve"> Un ensayo controlado para evaluar la eficacia terapéutica de la estimulación basada en estado PAC requeriría, como mínimo: una cohorte de 30–50 pacientes con SAOS moderado-severo con PSG basal confirmatoria;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pPr>
        <w:pStyle w:val="Heading1"/>
        <w:spacing w:after="120" w:before="320"/>
      </w:pPr>
      <w:r>
        <w:rPr>
          <w:rFonts w:ascii="Aptos" w:cs="Aptos" w:eastAsia="Aptos" w:hAnsi="Aptos"/>
          <w:b/>
          <w:bCs/>
          <w:color w:val="1E3A5F"/>
          <w:sz w:val="26"/>
          <w:szCs w:val="26"/>
        </w:rPr>
        <w:t xml:space="preserve">9.8  Limitaciones integradas del arco analítico</w:t>
      </w:r>
    </w:p>
    <w:p>
      <w:pPr>
        <w:spacing w:after="160" w:before="0" w:line="360"/>
        <w:jc w:val="both"/>
      </w:pPr>
      <w:r>
        <w:rPr>
          <w:rFonts w:ascii="Aptos" w:cs="Aptos" w:eastAsia="Aptos" w:hAnsi="Aptos"/>
          <w:b w:val="false"/>
          <w:bCs w:val="false"/>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pPr>
        <w:pStyle w:val="Heading1"/>
        <w:spacing w:after="120" w:before="320"/>
      </w:pPr>
      <w:r>
        <w:rPr>
          <w:rFonts w:ascii="Aptos" w:cs="Aptos" w:eastAsia="Aptos" w:hAnsi="Aptos"/>
          <w:b/>
          <w:bCs/>
          <w:color w:val="1E3A5F"/>
          <w:sz w:val="26"/>
          <w:szCs w:val="26"/>
        </w:rPr>
        <w:t xml:space="preserve">9.9  Síntesis: contribuciones principales</w:t>
      </w:r>
    </w:p>
    <w:p>
      <w:pPr>
        <w:spacing w:after="160" w:before="0" w:line="360"/>
        <w:jc w:val="both"/>
      </w:pPr>
      <w:r>
        <w:rPr>
          <w:rFonts w:ascii="Aptos" w:cs="Aptos" w:eastAsia="Aptos" w:hAnsi="Aptos"/>
          <w:b w:val="false"/>
          <w:bCs w:val="false"/>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tres contribuciones se sitúan con precisión: el fenotipado morfológico de 85.277 eventos mediante K-means sobre curvas PCA-reducidas no tiene precedente a esa escala en oximetría portátil; la cuantificación de la especialización funcional de los estados PAC multiescala amplía los resultados previos de análisis dinámico del sueño al mostrar que escalas distintas predicen dimensiones distintas de la severidad; y la predicción prospectiva (AUC = 0,821, H = 5 min, LOPO-CV estricto) establece la condición algorítmica mínima para una intervención terapéutica adaptativa. Si se replica en una cohorte externa y se valida en ensayo controlado, este último resultado podría tener impacto directo en el diseño de dispositivos de terapia adaptativa del SAOS.</w:t>
      </w:r>
    </w:p>
    <w:p>
      <w:pPr>
        <w:spacing w:after="160" w:before="0" w:line="360"/>
        <w:jc w:val="both"/>
      </w:pPr>
      <w:r>
        <w:rPr>
          <w:rFonts w:ascii="Aptos" w:cs="Aptos" w:eastAsia="Aptos" w:hAnsi="Aptos"/>
          <w:b w:val="false"/>
          <w:bCs w:val="false"/>
          <w:sz w:val="24"/>
          <w:szCs w:val="24"/>
        </w:rPr>
        <w:t xml:space="preserve">Continúa en Capítulo 10 — Conclusiones</w:t>
      </w:r>
    </w:p>
    <w:sectPr>
      <w:headerReference w:type="default" r:id="rId7"/>
      <w:footerReference w:type="default" r:id="rId8"/>
      <w:pgSz w:w="11906" w:h="16838" w:orient="portrait"/>
      <w:pgMar w:top="1000" w:right="1000" w:bottom="10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9 — Discusión  (v9)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2026-06-06T22:28:11.180Z</dcterms:created>
  <dcterms:modified xsi:type="dcterms:W3CDTF">2026-06-06T22:28:11.180Z</dcterms:modified>
</cp:coreProperties>
</file>

<file path=docProps/custom.xml><?xml version="1.0" encoding="utf-8"?>
<Properties xmlns="http://schemas.openxmlformats.org/officeDocument/2006/custom-properties" xmlns:vt="http://schemas.openxmlformats.org/officeDocument/2006/docPropsVTypes"/>
</file>