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9</w:t>
      </w:r>
    </w:p>
    <w:p>
      <w:pPr>
        <w:spacing w:after="80" w:before="0"/>
      </w:pPr>
      <w:r>
        <w:rPr>
          <w:rFonts w:ascii="Aptos" w:cs="Aptos" w:eastAsia="Aptos" w:hAnsi="Aptos"/>
          <w:b/>
          <w:bCs/>
          <w:color w:val="1E3A5F"/>
          <w:sz w:val="36"/>
          <w:szCs w:val="36"/>
        </w:rPr>
        <w:t xml:space="preserve">Discusión</w:t>
      </w:r>
    </w:p>
    <w:p>
      <w:pPr>
        <w:spacing w:after="400" w:before="0"/>
      </w:pPr>
      <w:r>
        <w:rPr>
          <w:rFonts w:ascii="Aptos" w:cs="Aptos" w:eastAsia="Aptos" w:hAnsi="Aptos"/>
          <w:color w:val="666666"/>
          <w:sz w:val="18"/>
          <w:szCs w:val="18"/>
        </w:rPr>
        <w:t xml:space="preserve">Versión 11  ·  Junio 2026</w:t>
      </w:r>
    </w:p>
    <w:p>
      <w:pPr>
        <w:spacing w:after="160" w:before="0" w:line="360"/>
        <w:jc w:val="both"/>
      </w:pPr>
      <w:r>
        <w:rPr>
          <w:rFonts w:ascii="Aptos" w:cs="Aptos" w:eastAsia="Aptos" w:hAnsi="Aptos"/>
          <w:b w:val="false"/>
          <w:bCs w:val="false"/>
          <w:sz w:val="24"/>
          <w:szCs w:val="24"/>
        </w:rPr>
        <w:t xml:space="preserve">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pPr>
        <w:pStyle w:val="Heading1"/>
        <w:spacing w:after="120" w:before="320"/>
      </w:pPr>
      <w:r>
        <w:rPr>
          <w:rFonts w:ascii="Aptos" w:cs="Aptos" w:eastAsia="Aptos" w:hAnsi="Aptos"/>
          <w:b/>
          <w:bCs/>
          <w:color w:val="1E3A5F"/>
          <w:sz w:val="26"/>
          <w:szCs w:val="26"/>
        </w:rPr>
        <w:t xml:space="preserve">9.1  Índices de evento e índices agregados nocturnos</w:t>
      </w:r>
    </w:p>
    <w:p>
      <w:pPr>
        <w:spacing w:after="160" w:before="0" w:line="360"/>
        <w:jc w:val="both"/>
      </w:pPr>
      <w:r>
        <w:rPr>
          <w:rFonts w:ascii="Aptos" w:cs="Aptos" w:eastAsia="Aptos" w:hAnsi="Aptos"/>
          <w:b w:val="false"/>
          <w:bCs w:val="false"/>
          <w:sz w:val="24"/>
          <w:szCs w:val="24"/>
        </w:rPr>
        <w:t xml:space="preserve">La literatura reciente ha avanzado más allá del AHI y el ODI3 en la misma dirección que motiva este trabajo: Azarbarzin et al. (2019) demostraron que la carga hipóxica predice mortalidad cardiovascular independientemente del AHI en más de 7.000 pacientes; Sands et al. (2021) proponen descomponer el fenotipo del SAOS en cuatro rasgos fisiopatológicos independientes, cada uno variable independientemente del índice de frecuencia. Aun así, T90 y carga hipóxica siguen siendo índices agregados nocturnos: integran la exposición hipóxica de la noche completa pero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 La decisión de adoptar un umbral interno de ≥ 2 pp para la detección de EDOs —reservando el ODI3 para estratificación de severidad— responde a que el umbral clínico es una convención diagnóstica, no una frontera fisiológica: un evento de 2,5 pp tiene morfología y respuesta autonómica igualmente informativas que uno de 3,2 pp (Álvarez et al., 2022).</w:t>
      </w:r>
    </w:p>
    <w:p>
      <w:pPr>
        <w:pStyle w:val="Heading1"/>
        <w:spacing w:after="120" w:before="320"/>
      </w:pPr>
      <w:r>
        <w:rPr>
          <w:rFonts w:ascii="Aptos" w:cs="Aptos" w:eastAsia="Aptos" w:hAnsi="Aptos"/>
          <w:b/>
          <w:bCs/>
          <w:color w:val="1E3A5F"/>
          <w:sz w:val="26"/>
          <w:szCs w:val="26"/>
        </w:rPr>
        <w:t xml:space="preserve">9.2  Fenotipado morfológico de EDOs: morfotipos C1–C5 y el ARI en perspectiva</w:t>
      </w:r>
    </w:p>
    <w:p>
      <w:pPr>
        <w:pStyle w:val="Heading2"/>
        <w:spacing w:after="100" w:before="240"/>
      </w:pPr>
      <w:r>
        <w:rPr>
          <w:rFonts w:ascii="Aptos" w:cs="Aptos" w:eastAsia="Aptos" w:hAnsi="Aptos"/>
          <w:b/>
          <w:bCs/>
          <w:color w:val="1E3A5F"/>
          <w:sz w:val="23"/>
          <w:szCs w:val="23"/>
        </w:rPr>
        <w:t xml:space="preserve">9.2.1  Los morfotipos de curvas SpO₂ frente a la literatura</w:t>
      </w:r>
    </w:p>
    <w:p>
      <w:pPr>
        <w:spacing w:after="160" w:before="0" w:line="360"/>
        <w:jc w:val="both"/>
      </w:pPr>
      <w:r>
        <w:rPr>
          <w:rFonts w:ascii="Aptos" w:cs="Aptos" w:eastAsia="Aptos" w:hAnsi="Aptos"/>
          <w:b w:val="false"/>
          <w:bCs w:val="false"/>
          <w:sz w:val="24"/>
          <w:szCs w:val="24"/>
        </w:rPr>
        <w:t xml:space="preserve">El fenotipado morfológico de eventos individuales de desaturación mediante métodos no supervisados sobre la curva completa de SpO₂ no tiene precedente directo en la literatura a la escala del Proyecto PAC: los trabajos más cercanos operan sobre características univariadas —duración, profundidad— sin abordar la forma completa de la curva normalizada como objeto de clustering (Terrill, 2020;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Un hallazgo analítico con implicancias de diseño: el IEI mediano de 82 s (62,8 % de pares &lt; 2 min) justifica retroactivamente el baseline móvil de 120 s adoptado en la detección de EDOs —equilibrio entre absorber el efecto residual de la desaturación anterior y evitar inercia excesiva en pacientes con hipoxemia basal persistente— que de otro modo sería una convención arbitraria. Que la estructura observada en los datos valide una decisión metodológica del pipeline es, en sí misma, una forma de validación interna.</w:t>
      </w:r>
    </w:p>
    <w:p>
      <w:pPr>
        <w:pStyle w:val="Heading2"/>
        <w:spacing w:after="100" w:before="240"/>
      </w:pPr>
      <w:r>
        <w:rPr>
          <w:rFonts w:ascii="Aptos" w:cs="Aptos" w:eastAsia="Aptos" w:hAnsi="Aptos"/>
          <w:b/>
          <w:bCs/>
          <w:color w:val="1E3A5F"/>
          <w:sz w:val="23"/>
          <w:szCs w:val="23"/>
        </w:rPr>
        <w:t xml:space="preserve">9.2.2  El ARI: una dimensión ortogonal a la severidad hipóxica</w:t>
      </w:r>
    </w:p>
    <w:p>
      <w:pPr>
        <w:spacing w:after="160" w:before="0" w:line="360"/>
        <w:jc w:val="both"/>
      </w:pPr>
      <w:r>
        <w:rPr>
          <w:rFonts w:ascii="Aptos" w:cs="Aptos" w:eastAsia="Aptos" w:hAnsi="Aptos"/>
          <w:b w:val="false"/>
          <w:bCs w:val="false"/>
          <w:sz w:val="24"/>
          <w:szCs w:val="24"/>
        </w:rPr>
        <w:t xml:space="preserve">El ARI es una de las contribuciones metodológicas más originales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pPr>
        <w:pStyle w:val="Heading1"/>
        <w:spacing w:after="120" w:before="320"/>
      </w:pPr>
      <w:r>
        <w:rPr>
          <w:rFonts w:ascii="Aptos" w:cs="Aptos" w:eastAsia="Aptos" w:hAnsi="Aptos"/>
          <w:b/>
          <w:bCs/>
          <w:color w:val="1E3A5F"/>
          <w:sz w:val="26"/>
          <w:szCs w:val="26"/>
        </w:rPr>
        <w:t xml:space="preserve">9.3  PAC States: la fisiología nocturna como sistema dinámico multiescala</w:t>
      </w:r>
    </w:p>
    <w:p>
      <w:pPr>
        <w:pStyle w:val="Heading2"/>
        <w:spacing w:after="100" w:before="240"/>
      </w:pPr>
      <w:r>
        <w:rPr>
          <w:rFonts w:ascii="Aptos" w:cs="Aptos" w:eastAsia="Aptos" w:hAnsi="Aptos"/>
          <w:b/>
          <w:bCs/>
          <w:color w:val="1E3A5F"/>
          <w:sz w:val="23"/>
          <w:szCs w:val="23"/>
        </w:rPr>
        <w:t xml:space="preserve">9.3.1  Representación del sueño como secuencia de estados</w:t>
      </w:r>
    </w:p>
    <w:p>
      <w:pPr>
        <w:spacing w:after="160" w:before="0" w:line="360"/>
        <w:jc w:val="both"/>
      </w:pPr>
      <w:r>
        <w:rPr>
          <w:rFonts w:ascii="Aptos" w:cs="Aptos" w:eastAsia="Aptos" w:hAnsi="Aptos"/>
          <w:b w:val="false"/>
          <w:bCs w:val="false"/>
          <w:sz w:val="24"/>
          <w:szCs w:val="24"/>
        </w:rPr>
        <w:t xml:space="preserve">El uso de sistemas de estados para representar la dinámica nocturna tiene antecedentes en análisis de EEG y señales cardíacas, donde la arquitectura del sueño se infiere a partir de patrones de actividad cortical. La innovación del sistema PAC States es triple: construye los estados sobre señales de oximetría portátil sin EEG ni PSG; adopta una arquitectura triescala simultánea (30 s, 5 min, 30 min); y la especialización funcional entre escalas emergió del clustering sobre los datos, sin ser impuesta por diseño. Los estados PAC no se mapean a los estadios AASM —definidos sobre actividad cortical— porque fueron construidos con un objetivo distinto: capturar la regulación autonómica y respiratoria nocturna, una dimensión que la taxonomía cortical no resuelve.</w:t>
      </w:r>
    </w:p>
    <w:p>
      <w:pPr>
        <w:pStyle w:val="Heading2"/>
        <w:spacing w:after="100" w:before="240"/>
      </w:pPr>
      <w:r>
        <w:rPr>
          <w:rFonts w:ascii="Aptos" w:cs="Aptos" w:eastAsia="Aptos" w:hAnsi="Aptos"/>
          <w:b/>
          <w:bCs/>
          <w:color w:val="1E3A5F"/>
          <w:sz w:val="23"/>
          <w:szCs w:val="23"/>
        </w:rPr>
        <w:t xml:space="preserve">9.3.2  Especialización funcional y variabilidad intraindividual</w:t>
      </w:r>
    </w:p>
    <w:p>
      <w:pPr>
        <w:spacing w:after="160" w:before="0" w:line="360"/>
        <w:jc w:val="both"/>
      </w:pPr>
      <w:r>
        <w:rPr>
          <w:rFonts w:ascii="Aptos" w:cs="Aptos" w:eastAsia="Aptos" w:hAnsi="Aptos"/>
          <w:b w:val="false"/>
          <w:bCs w:val="false"/>
          <w:sz w:val="24"/>
          <w:szCs w:val="24"/>
        </w:rPr>
        <w:t xml:space="preserve">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pPr>
        <w:pStyle w:val="Heading1"/>
        <w:spacing w:after="120" w:before="320"/>
      </w:pPr>
      <w:r>
        <w:rPr>
          <w:rFonts w:ascii="Aptos" w:cs="Aptos" w:eastAsia="Aptos" w:hAnsi="Aptos"/>
          <w:b/>
          <w:bCs/>
          <w:color w:val="1E3A5F"/>
          <w:sz w:val="26"/>
          <w:szCs w:val="26"/>
        </w:rPr>
        <w:t xml:space="preserve">9.4  Acoplamiento morfotipo–estado: la estructura no aleatoria del riesgo nocturno</w:t>
      </w:r>
    </w:p>
    <w:p>
      <w:pPr>
        <w:spacing w:after="160" w:before="0" w:line="360"/>
        <w:jc w:val="both"/>
      </w:pPr>
      <w:r>
        <w:rPr>
          <w:rFonts w:ascii="Aptos" w:cs="Aptos" w:eastAsia="Aptos" w:hAnsi="Aptos"/>
          <w:b w:val="false"/>
          <w:bCs w:val="false"/>
          <w:sz w:val="24"/>
          <w:szCs w:val="24"/>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pPr>
        <w:pStyle w:val="Heading1"/>
        <w:spacing w:after="120" w:before="320"/>
      </w:pPr>
      <w:r>
        <w:rPr>
          <w:rFonts w:ascii="Aptos" w:cs="Aptos" w:eastAsia="Aptos" w:hAnsi="Aptos"/>
          <w:b/>
          <w:bCs/>
          <w:color w:val="1E3A5F"/>
          <w:sz w:val="26"/>
          <w:szCs w:val="26"/>
        </w:rPr>
        <w:t xml:space="preserve">9.5  Los modelos de predicción frente a la literatura</w:t>
      </w:r>
    </w:p>
    <w:p>
      <w:pPr>
        <w:spacing w:after="160" w:before="0" w:line="360"/>
        <w:jc w:val="both"/>
      </w:pPr>
      <w:r>
        <w:rPr>
          <w:rFonts w:ascii="Aptos" w:cs="Aptos" w:eastAsia="Aptos" w:hAnsi="Aptos"/>
          <w:b w:val="false"/>
          <w:bCs w:val="false"/>
          <w:sz w:val="24"/>
          <w:szCs w:val="24"/>
        </w:rPr>
        <w:t xml:space="preserve">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Frente a la literatura, el resultado es competitivo: Behar et al. (2019) reportan AUC de 0,75–0,82 para predicción de desaturaciones con oxímetro en ventanas de 5–10 min; Clifton et al. (2015) reportan AUC de 0,78–0,85 para deterioro clínico hospitalario. La ventaja diferencial de NB08 es la validación LOPO-CV estricta, que —a diferencia de la partición aleatoria de ventanas habitual en la literatura— controla la dependencia longitudinal y limita el n efectivo al número de pacientes, produciendo una estimación conservadora y metodológicamente limpia. El que ci_sofar (historia acumulada del acoplamiento) ocupe el top-3 de importancia en todos los horizontes constituye además una validación prospectiva de la estructura de acoplamiento descrita en §9.4: si el acoplamiento fuera un artefacto espurio, no debería predecir eventos futuros con esa consistencia.</w:t>
      </w:r>
    </w:p>
    <w:p>
      <w:pPr>
        <w:spacing w:after="160" w:before="0" w:line="360"/>
        <w:jc w:val="both"/>
      </w:pPr>
      <w:r>
        <w:rPr>
          <w:rFonts w:ascii="Aptos" w:cs="Aptos" w:eastAsia="Aptos" w:hAnsi="Aptos"/>
          <w:b w:val="false"/>
          <w:bCs w:val="false"/>
          <w:sz w:val="24"/>
          <w:szCs w:val="24"/>
        </w:rPr>
        <w:t xml:space="preserve">El lead time de H = 5 min no es solo el horizonte de mejor AUC: es la condición algorítmica mínima para que una intervención adaptativa sea plausible. La cadena estándar de validación de dispositivos médicos adaptativos distingue tres fases —analítica, de factibilidad y clínica—. El Proyecto PAC completa las dos primeras: las representaciones PAC contienen información predictiva prospectiva generalizable entre pacientes, y H = 5 min supera por un factor mayor a 3 el margen de activación requerido por el estimulador transcutáneo del SOMNI 6000 (≥ 90 s; Clifton et al., 2015). La tercera fase, el ensayo clínico controlado, es trabajo futuro explícito cuyo diseño se articula en §9.7.</w:t>
      </w:r>
    </w:p>
    <w:p>
      <w:pPr>
        <w:pStyle w:val="Heading1"/>
        <w:spacing w:after="120" w:before="320"/>
      </w:pPr>
      <w:r>
        <w:rPr>
          <w:rFonts w:ascii="Aptos" w:cs="Aptos" w:eastAsia="Aptos" w:hAnsi="Aptos"/>
          <w:b/>
          <w:bCs/>
          <w:color w:val="1E3A5F"/>
          <w:sz w:val="26"/>
          <w:szCs w:val="26"/>
        </w:rPr>
        <w:t xml:space="preserve">9.6  Oximetría domiciliaria como plataforma de fenotipado frente al PSG</w:t>
      </w:r>
    </w:p>
    <w:p>
      <w:pPr>
        <w:spacing w:after="160" w:before="0" w:line="360"/>
        <w:jc w:val="both"/>
      </w:pPr>
      <w:r>
        <w:rPr>
          <w:rFonts w:ascii="Aptos" w:cs="Aptos" w:eastAsia="Aptos" w:hAnsi="Aptos"/>
          <w:b w:val="false"/>
          <w:bCs w:val="false"/>
          <w:sz w:val="24"/>
          <w:szCs w:val="24"/>
        </w:rPr>
        <w:t xml:space="preserve">El posicionamiento del monitoreo domiciliario como enfoque complementario —no sustituto— de la PSG quedó establecido en el marco teórico. Lo que los resultados permiten añadir es una afirmación más precisa: la ventaja analítica del pipeline PAC_v3 no reside en el tipo de sensor sino en el diseño longitudinal. Las 553 noches de calidad de 12 pacientes generan un corpus de morfotipos, estados y coupling cuya escala y representatividad ecológica no es reproducible en una sola noche de laboratorio. La pregunta empírica que queda abierta —cuánta información adicional aportaría el EEG sobre los morfotipos y estados ya identificados— requiere una cohorte con PSG simultánea y constituye trabajo futuro explícito.</w:t>
      </w:r>
    </w:p>
    <w:p>
      <w:pPr>
        <w:pStyle w:val="Heading1"/>
        <w:spacing w:after="120" w:before="320"/>
      </w:pPr>
      <w:r>
        <w:rPr>
          <w:rFonts w:ascii="Aptos" w:cs="Aptos" w:eastAsia="Aptos" w:hAnsi="Aptos"/>
          <w:b/>
          <w:bCs/>
          <w:color w:val="1E3A5F"/>
          <w:sz w:val="26"/>
          <w:szCs w:val="26"/>
        </w:rPr>
        <w:t xml:space="preserve">9.7  Hacia la terapéutica automática del SAOS severo: condición algorítmica y agenda clínica</w:t>
      </w:r>
    </w:p>
    <w:p>
      <w:pPr>
        <w:spacing w:after="160" w:before="0" w:line="360"/>
        <w:jc w:val="both"/>
      </w:pPr>
      <w:r>
        <w:rPr>
          <w:rFonts w:ascii="Aptos" w:cs="Aptos" w:eastAsia="Aptos" w:hAnsi="Aptos"/>
          <w:b w:val="false"/>
          <w:bCs w:val="false"/>
          <w:sz w:val="24"/>
          <w:szCs w:val="24"/>
        </w:rPr>
        <w:t xml:space="preserve">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pPr>
        <w:spacing w:after="160" w:before="0" w:line="360"/>
        <w:jc w:val="both"/>
      </w:pPr>
      <w:r>
        <w:rPr>
          <w:rFonts w:ascii="Aptos" w:cs="Aptos" w:eastAsia="Aptos" w:hAnsi="Aptos"/>
          <w:b/>
          <w:bCs/>
          <w:sz w:val="24"/>
          <w:szCs w:val="24"/>
        </w:rPr>
        <w:t xml:space="preserve">La heterogeneidad inter-paciente como barrera principal.</w:t>
      </w:r>
      <w:r>
        <w:rPr>
          <w:rFonts w:ascii="Aptos" w:cs="Aptos" w:eastAsia="Aptos" w:hAnsi="Aptos"/>
          <w:b w:val="false"/>
          <w:bCs w:val="false"/>
          <w:sz w:val="24"/>
          <w:szCs w:val="24"/>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pPr>
        <w:spacing w:after="160" w:before="0" w:line="360"/>
        <w:jc w:val="both"/>
      </w:pPr>
      <w:r>
        <w:rPr>
          <w:rFonts w:ascii="Aptos" w:cs="Aptos" w:eastAsia="Aptos" w:hAnsi="Aptos"/>
          <w:b/>
          <w:bCs/>
          <w:sz w:val="24"/>
          <w:szCs w:val="24"/>
        </w:rPr>
        <w:t xml:space="preserve">La circularidad PAC y el requisito de validación externa.</w:t>
      </w:r>
      <w:r>
        <w:rPr>
          <w:rFonts w:ascii="Aptos" w:cs="Aptos" w:eastAsia="Aptos" w:hAnsi="Aptos"/>
          <w:b w:val="false"/>
          <w:bCs w:val="false"/>
          <w:sz w:val="24"/>
          <w:szCs w:val="24"/>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pPr>
        <w:spacing w:after="160" w:before="0" w:line="360"/>
        <w:jc w:val="both"/>
      </w:pPr>
      <w:r>
        <w:rPr>
          <w:rFonts w:ascii="Aptos" w:cs="Aptos" w:eastAsia="Aptos" w:hAnsi="Aptos"/>
          <w:b/>
          <w:bCs/>
          <w:sz w:val="24"/>
          <w:szCs w:val="24"/>
        </w:rPr>
        <w:t xml:space="preserve">El diseño del ensayo clínico.</w:t>
      </w:r>
      <w:r>
        <w:rPr>
          <w:rFonts w:ascii="Aptos" w:cs="Aptos" w:eastAsia="Aptos" w:hAnsi="Aptos"/>
          <w:b w:val="false"/>
          <w:bCs w:val="false"/>
          <w:sz w:val="24"/>
          <w:szCs w:val="24"/>
        </w:rPr>
        <w:t xml:space="preserve"> Un ensayo controlado para evaluar la eficacia terapéutica de la estimulación basada en estado PAC requeriría, como mínimo: una cohorte de 30–50 pacientes con SAOS moderado-severo con PSG basal confirmatoria —rango mínimo convencional para estudios piloto controlados de terapia adaptativa del sueño con potencia suficiente para detectar reducciones del 25–30 % en ODI3 asumiendo la variabilidad intraindividual documentada en la cohorte PAC—;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pPr>
        <w:pStyle w:val="Heading1"/>
        <w:spacing w:after="120" w:before="320"/>
      </w:pPr>
      <w:r>
        <w:rPr>
          <w:rFonts w:ascii="Aptos" w:cs="Aptos" w:eastAsia="Aptos" w:hAnsi="Aptos"/>
          <w:b/>
          <w:bCs/>
          <w:color w:val="1E3A5F"/>
          <w:sz w:val="26"/>
          <w:szCs w:val="26"/>
        </w:rPr>
        <w:t xml:space="preserve">9.8  Limitaciones integradas del arco analítico</w:t>
      </w:r>
    </w:p>
    <w:p>
      <w:pPr>
        <w:spacing w:after="160" w:before="0" w:line="360"/>
        <w:jc w:val="both"/>
      </w:pPr>
      <w:r>
        <w:rPr>
          <w:rFonts w:ascii="Aptos" w:cs="Aptos" w:eastAsia="Aptos" w:hAnsi="Aptos"/>
          <w:b w:val="false"/>
          <w:bCs w:val="false"/>
          <w:sz w:val="24"/>
          <w:szCs w:val="24"/>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pPr>
        <w:pStyle w:val="Heading1"/>
        <w:spacing w:after="120" w:before="320"/>
      </w:pPr>
      <w:r>
        <w:rPr>
          <w:rFonts w:ascii="Aptos" w:cs="Aptos" w:eastAsia="Aptos" w:hAnsi="Aptos"/>
          <w:b/>
          <w:bCs/>
          <w:color w:val="1E3A5F"/>
          <w:sz w:val="26"/>
          <w:szCs w:val="26"/>
        </w:rPr>
        <w:t xml:space="preserve">9.9  Síntesis: contribuciones principales</w:t>
      </w:r>
    </w:p>
    <w:p>
      <w:pPr>
        <w:spacing w:after="160" w:before="0" w:line="360"/>
        <w:jc w:val="both"/>
      </w:pPr>
      <w:r>
        <w:rPr>
          <w:rFonts w:ascii="Aptos" w:cs="Aptos" w:eastAsia="Aptos" w:hAnsi="Aptos"/>
          <w:b w:val="false"/>
          <w:bCs w:val="false"/>
          <w:sz w:val="24"/>
          <w:szCs w:val="24"/>
        </w:rPr>
        <w:t xml:space="preserve">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cuatro contribuciones se sitúan con precisión. Primera: el fenotipado morfológico de 84.248 eventos mediante K-means sobre curvas PCA-reducidas no tiene precedente a esa escala en oximetría portátil, y propone un marco operacional transferible a otras cohortes (Terrill, 2020; Biedebach et al., 2025). Segunda: el ARI como dimensión ortogonal a la severidad hipóxica (ρ = 0,034) operacionaliza desde oximetría y acelerometría una propiedad fisiológica —la reactividad autonómica— que los índices convencionales no capturan, y lo hace con estabilidad suficiente desde la primera noche de registro. Tercera: los PAC States triescala y el acoplamiento morfotipo–estado (V de Cramér hasta 0,355; inercia de resiliencia del 1,3 % a 30 min) demuestran que la fisiología nocturna tiene estructura dinámica no aleatoria y que esa estructura es predictivamente útil. Cuarta: la predicción prospectiva (AUC = 0,821, H = 5 min, LOPO-CV estricto) establece la condición algorítmica mínima para una intervención terapéutica adaptativa. Si se replica en una cohorte externa y se valida en ensayo controlado, esta última contribución podría tener impacto directo en el diseño de dispositivos de terapia adaptativa del SAOS.</w:t>
      </w:r>
    </w:p>
    <w:p>
      <w:pPr>
        <w:spacing w:after="160" w:before="0" w:line="360"/>
        <w:jc w:val="both"/>
      </w:pPr>
      <w:r>
        <w:rPr>
          <w:rFonts w:ascii="Aptos" w:cs="Aptos" w:eastAsia="Aptos" w:hAnsi="Aptos"/>
          <w:b w:val="false"/>
          <w:bCs w:val="false"/>
          <w:sz w:val="24"/>
          <w:szCs w:val="24"/>
        </w:rPr>
        <w:t xml:space="preserve">Continúa en Capítulo 10 — Conclusiones</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9 — Discusión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2026-06-06T22:39:08.518Z</dcterms:created>
  <dcterms:modified xsi:type="dcterms:W3CDTF">2026-06-06T22:39:08.518Z</dcterms:modified>
</cp:coreProperties>
</file>

<file path=docProps/custom.xml><?xml version="1.0" encoding="utf-8"?>
<Properties xmlns="http://schemas.openxmlformats.org/officeDocument/2006/custom-properties" xmlns:vt="http://schemas.openxmlformats.org/officeDocument/2006/docPropsVTypes"/>
</file>