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4A43" w14:textId="77777777" w:rsidR="001972B2" w:rsidRDefault="00000000">
      <w:pPr>
        <w:spacing w:after="80"/>
      </w:pPr>
      <w:r>
        <w:rPr>
          <w:b/>
          <w:bCs/>
          <w:color w:val="6B7280"/>
          <w:sz w:val="20"/>
          <w:szCs w:val="20"/>
        </w:rPr>
        <w:t>CAPÍTULO 9</w:t>
      </w:r>
    </w:p>
    <w:p w14:paraId="2882B8EB" w14:textId="77777777" w:rsidR="001972B2" w:rsidRDefault="00000000">
      <w:pPr>
        <w:spacing w:after="80"/>
      </w:pPr>
      <w:r>
        <w:rPr>
          <w:b/>
          <w:bCs/>
          <w:color w:val="1E3A5F"/>
          <w:sz w:val="36"/>
          <w:szCs w:val="36"/>
        </w:rPr>
        <w:t>Discusión</w:t>
      </w:r>
    </w:p>
    <w:p w14:paraId="39FCDB46" w14:textId="77777777" w:rsidR="001972B2" w:rsidRPr="007F742E" w:rsidRDefault="00000000">
      <w:pPr>
        <w:spacing w:after="400"/>
        <w:rPr>
          <w:i/>
          <w:iCs/>
        </w:rPr>
      </w:pPr>
      <w:r w:rsidRPr="007F742E">
        <w:rPr>
          <w:i/>
          <w:iCs/>
          <w:color w:val="666666"/>
          <w:sz w:val="18"/>
          <w:szCs w:val="18"/>
        </w:rPr>
        <w:t>Versión 13  ·  Junio 2026</w:t>
      </w:r>
    </w:p>
    <w:p w14:paraId="3474E658" w14:textId="77777777" w:rsidR="001972B2" w:rsidRDefault="00000000">
      <w:pPr>
        <w:spacing w:after="160" w:line="360" w:lineRule="auto"/>
        <w:jc w:val="both"/>
      </w:pPr>
      <w:r>
        <w:rPr>
          <w:sz w:val="24"/>
          <w:szCs w:val="24"/>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03B5969D" w14:textId="77777777" w:rsidR="001972B2" w:rsidRDefault="00000000">
      <w:pPr>
        <w:pStyle w:val="Ttulo1"/>
        <w:spacing w:before="320" w:after="120"/>
      </w:pPr>
      <w:r>
        <w:rPr>
          <w:b/>
          <w:bCs/>
          <w:color w:val="1E3A5F"/>
          <w:sz w:val="26"/>
          <w:szCs w:val="26"/>
        </w:rPr>
        <w:t>9.1  Índices de evento e índices agregados nocturnos</w:t>
      </w:r>
    </w:p>
    <w:p w14:paraId="685FB3F0" w14:textId="77777777" w:rsidR="001972B2" w:rsidRDefault="00000000">
      <w:pPr>
        <w:spacing w:after="160" w:line="360" w:lineRule="auto"/>
        <w:jc w:val="both"/>
      </w:pPr>
      <w:r>
        <w:rPr>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w:t>
      </w:r>
      <w:r>
        <w:rPr>
          <w:sz w:val="24"/>
          <w:szCs w:val="24"/>
        </w:rPr>
        <w:lastRenderedPageBreak/>
        <w:t>dimensión estructural que suprimen: morfología de la curva SpO₂ a nivel de evento y organización dinámica temporal de la noche a nivel multiescala.</w:t>
      </w:r>
    </w:p>
    <w:p w14:paraId="3A86F327" w14:textId="77777777" w:rsidR="001972B2" w:rsidRDefault="00000000">
      <w:pPr>
        <w:pStyle w:val="Ttulo1"/>
        <w:spacing w:before="320" w:after="120"/>
      </w:pPr>
      <w:r>
        <w:rPr>
          <w:b/>
          <w:bCs/>
          <w:color w:val="1E3A5F"/>
          <w:sz w:val="26"/>
          <w:szCs w:val="26"/>
        </w:rPr>
        <w:t>9.2  Fenotipado morfológico de EDOs: morfotipos C1–C5 y el ARI en perspectiva</w:t>
      </w:r>
    </w:p>
    <w:p w14:paraId="662AE766" w14:textId="77777777" w:rsidR="001972B2" w:rsidRDefault="00000000">
      <w:pPr>
        <w:pStyle w:val="Ttulo2"/>
        <w:spacing w:before="240" w:after="100"/>
      </w:pPr>
      <w:r>
        <w:rPr>
          <w:b/>
          <w:bCs/>
          <w:color w:val="1E3A5F"/>
          <w:sz w:val="23"/>
          <w:szCs w:val="23"/>
        </w:rPr>
        <w:t>9.2.1  Los morfotipos de curvas SpO₂ frente a la literatura</w:t>
      </w:r>
    </w:p>
    <w:p w14:paraId="16FC11CB" w14:textId="77777777" w:rsidR="001972B2" w:rsidRDefault="00000000">
      <w:pPr>
        <w:spacing w:after="160" w:line="360" w:lineRule="auto"/>
        <w:jc w:val="both"/>
      </w:pPr>
      <w:r>
        <w:rPr>
          <w:sz w:val="24"/>
          <w:szCs w:val="24"/>
        </w:rPr>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5F435523" w14:textId="77777777" w:rsidR="001972B2" w:rsidRDefault="00000000">
      <w:pPr>
        <w:pStyle w:val="Ttulo2"/>
        <w:spacing w:before="240" w:after="100"/>
      </w:pPr>
      <w:r>
        <w:rPr>
          <w:b/>
          <w:bCs/>
          <w:color w:val="1E3A5F"/>
          <w:sz w:val="23"/>
          <w:szCs w:val="23"/>
        </w:rPr>
        <w:t>9.2.2  El ARI: una dimensión ortogonal a la severidad hipóxica</w:t>
      </w:r>
    </w:p>
    <w:p w14:paraId="352608FD" w14:textId="77777777" w:rsidR="001972B2" w:rsidRDefault="00000000">
      <w:pPr>
        <w:spacing w:after="160" w:line="360" w:lineRule="auto"/>
        <w:jc w:val="both"/>
      </w:pPr>
      <w:r>
        <w:rPr>
          <w:sz w:val="24"/>
          <w:szCs w:val="24"/>
        </w:rPr>
        <w:t xml:space="preserve">El ARI es una de las contribuciones metodológicas más originales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w:t>
      </w:r>
      <w:r>
        <w:rPr>
          <w:sz w:val="24"/>
          <w:szCs w:val="24"/>
        </w:rPr>
        <w:lastRenderedPageBreak/>
        <w:t>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0F33B39F" w14:textId="77777777" w:rsidR="001972B2" w:rsidRDefault="00000000">
      <w:pPr>
        <w:pStyle w:val="Ttulo1"/>
        <w:spacing w:before="320" w:after="120"/>
      </w:pPr>
      <w:r>
        <w:rPr>
          <w:b/>
          <w:bCs/>
          <w:color w:val="1E3A5F"/>
          <w:sz w:val="26"/>
          <w:szCs w:val="26"/>
        </w:rPr>
        <w:t>9.3  PAC States: la fisiología nocturna como sistema dinámico multiescala</w:t>
      </w:r>
    </w:p>
    <w:p w14:paraId="4D7E88D8" w14:textId="77777777" w:rsidR="001972B2" w:rsidRDefault="00000000">
      <w:pPr>
        <w:pStyle w:val="Ttulo2"/>
        <w:spacing w:before="240" w:after="100"/>
      </w:pPr>
      <w:r>
        <w:rPr>
          <w:b/>
          <w:bCs/>
          <w:color w:val="1E3A5F"/>
          <w:sz w:val="23"/>
          <w:szCs w:val="23"/>
        </w:rPr>
        <w:t>9.3.1  Representación del sueño como secuencia de estados</w:t>
      </w:r>
    </w:p>
    <w:p w14:paraId="0A549526" w14:textId="77777777" w:rsidR="001972B2" w:rsidRDefault="00000000">
      <w:pPr>
        <w:spacing w:after="160" w:line="360" w:lineRule="auto"/>
        <w:jc w:val="both"/>
      </w:pPr>
      <w:r>
        <w:rPr>
          <w:sz w:val="24"/>
          <w:szCs w:val="24"/>
        </w:rPr>
        <w:t>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14:paraId="69EA7BA3" w14:textId="77777777" w:rsidR="001972B2" w:rsidRDefault="00000000">
      <w:pPr>
        <w:pStyle w:val="Ttulo2"/>
        <w:spacing w:before="240" w:after="100"/>
      </w:pPr>
      <w:r>
        <w:rPr>
          <w:b/>
          <w:bCs/>
          <w:color w:val="1E3A5F"/>
          <w:sz w:val="23"/>
          <w:szCs w:val="23"/>
        </w:rPr>
        <w:t>9.3.2  Especialización funcional y variabilidad intraindividual</w:t>
      </w:r>
    </w:p>
    <w:p w14:paraId="63961C31" w14:textId="77777777" w:rsidR="001972B2" w:rsidRDefault="00000000">
      <w:pPr>
        <w:spacing w:after="160" w:line="360" w:lineRule="auto"/>
        <w:jc w:val="both"/>
      </w:pPr>
      <w:r>
        <w:rPr>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w:t>
      </w:r>
      <w:r>
        <w:rPr>
          <w:sz w:val="24"/>
          <w:szCs w:val="24"/>
        </w:rPr>
        <w:lastRenderedPageBreak/>
        <w:t>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10C466EF" w14:textId="77777777" w:rsidR="001972B2" w:rsidRDefault="00000000">
      <w:pPr>
        <w:pStyle w:val="Ttulo1"/>
        <w:spacing w:before="320" w:after="120"/>
      </w:pPr>
      <w:r>
        <w:rPr>
          <w:b/>
          <w:bCs/>
          <w:color w:val="1E3A5F"/>
          <w:sz w:val="26"/>
          <w:szCs w:val="26"/>
        </w:rPr>
        <w:t>9.4  Acoplamiento morfotipo–estado: la estructura no aleatoria del riesgo nocturno</w:t>
      </w:r>
    </w:p>
    <w:p w14:paraId="59AD9E36" w14:textId="77777777" w:rsidR="001972B2" w:rsidRDefault="00000000">
      <w:pPr>
        <w:spacing w:after="160" w:line="360" w:lineRule="auto"/>
        <w:jc w:val="both"/>
      </w:pPr>
      <w:r>
        <w:rPr>
          <w:sz w:val="24"/>
          <w:szCs w:val="24"/>
        </w:rPr>
        <w:t>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749B7114" w14:textId="77777777" w:rsidR="001972B2" w:rsidRDefault="00000000">
      <w:pPr>
        <w:pStyle w:val="Ttulo1"/>
        <w:spacing w:before="320" w:after="120"/>
      </w:pPr>
      <w:r>
        <w:rPr>
          <w:b/>
          <w:bCs/>
          <w:color w:val="1E3A5F"/>
          <w:sz w:val="26"/>
          <w:szCs w:val="26"/>
        </w:rPr>
        <w:t>9.5  Los modelos de predicción frente a la literatura</w:t>
      </w:r>
    </w:p>
    <w:p w14:paraId="0A4E08F3" w14:textId="77777777" w:rsidR="001972B2" w:rsidRDefault="00000000">
      <w:pPr>
        <w:spacing w:after="160" w:line="360" w:lineRule="auto"/>
        <w:jc w:val="both"/>
      </w:pPr>
      <w:r>
        <w:rPr>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w:t>
      </w:r>
      <w:r>
        <w:rPr>
          <w:sz w:val="24"/>
          <w:szCs w:val="24"/>
        </w:rPr>
        <w:lastRenderedPageBreak/>
        <w:t>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6EBA0F57" w14:textId="77777777" w:rsidR="001972B2" w:rsidRDefault="00000000">
      <w:pPr>
        <w:spacing w:after="160" w:line="360" w:lineRule="auto"/>
        <w:jc w:val="both"/>
      </w:pPr>
      <w:r>
        <w:rPr>
          <w:sz w:val="24"/>
          <w:szCs w:val="24"/>
        </w:rPr>
        <w:t>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14:paraId="72EB7E3B" w14:textId="77777777" w:rsidR="001972B2" w:rsidRDefault="00000000">
      <w:pPr>
        <w:pStyle w:val="Ttulo1"/>
        <w:spacing w:before="320" w:after="120"/>
      </w:pPr>
      <w:r>
        <w:rPr>
          <w:b/>
          <w:bCs/>
          <w:color w:val="1E3A5F"/>
          <w:sz w:val="26"/>
          <w:szCs w:val="26"/>
        </w:rPr>
        <w:t>9.6  Oximetría domiciliaria como plataforma de fenotipado frente al PSG</w:t>
      </w:r>
    </w:p>
    <w:p w14:paraId="4F56806A" w14:textId="77777777" w:rsidR="001972B2" w:rsidRDefault="00000000">
      <w:pPr>
        <w:spacing w:after="160" w:line="360" w:lineRule="auto"/>
        <w:jc w:val="both"/>
      </w:pPr>
      <w:r>
        <w:rPr>
          <w:sz w:val="24"/>
          <w:szCs w:val="24"/>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44893A66" w14:textId="77777777" w:rsidR="001972B2" w:rsidRDefault="00000000">
      <w:pPr>
        <w:pStyle w:val="Ttulo1"/>
        <w:spacing w:before="320" w:after="120"/>
      </w:pPr>
      <w:r>
        <w:rPr>
          <w:b/>
          <w:bCs/>
          <w:color w:val="1E3A5F"/>
          <w:sz w:val="26"/>
          <w:szCs w:val="26"/>
        </w:rPr>
        <w:lastRenderedPageBreak/>
        <w:t>9.7  Hacia la terapéutica automática del SAOS severo: condición algorítmica y agenda clínica</w:t>
      </w:r>
    </w:p>
    <w:p w14:paraId="5F92375D" w14:textId="77777777" w:rsidR="001972B2" w:rsidRDefault="00000000">
      <w:pPr>
        <w:spacing w:after="160" w:line="360" w:lineRule="auto"/>
        <w:jc w:val="both"/>
      </w:pPr>
      <w:r>
        <w:rPr>
          <w:sz w:val="24"/>
          <w:szCs w:val="24"/>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0762E299" w14:textId="77777777" w:rsidR="001972B2" w:rsidRDefault="00000000">
      <w:pPr>
        <w:spacing w:after="160" w:line="360" w:lineRule="auto"/>
        <w:jc w:val="both"/>
      </w:pPr>
      <w:r>
        <w:rPr>
          <w:b/>
          <w:bCs/>
          <w:sz w:val="24"/>
          <w:szCs w:val="24"/>
        </w:rPr>
        <w:t>La heterogeneidad inter-paciente como barrera principal.</w:t>
      </w:r>
      <w:r>
        <w:rPr>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779BCC10" w14:textId="77777777" w:rsidR="001972B2" w:rsidRDefault="00000000">
      <w:pPr>
        <w:spacing w:after="160" w:line="360" w:lineRule="auto"/>
        <w:jc w:val="both"/>
      </w:pPr>
      <w:r>
        <w:rPr>
          <w:b/>
          <w:bCs/>
          <w:sz w:val="24"/>
          <w:szCs w:val="24"/>
        </w:rPr>
        <w:t>La circularidad PAC y el requisito de validación externa.</w:t>
      </w:r>
      <w:r>
        <w:rPr>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w:t>
      </w:r>
      <w:r>
        <w:rPr>
          <w:sz w:val="24"/>
          <w:szCs w:val="24"/>
        </w:rPr>
        <w:lastRenderedPageBreak/>
        <w:t>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2EF082C4" w14:textId="77777777" w:rsidR="001972B2" w:rsidRDefault="00000000">
      <w:pPr>
        <w:spacing w:after="160" w:line="360" w:lineRule="auto"/>
        <w:jc w:val="both"/>
      </w:pPr>
      <w:r>
        <w:rPr>
          <w:b/>
          <w:bCs/>
          <w:sz w:val="24"/>
          <w:szCs w:val="24"/>
        </w:rPr>
        <w:t>El diseño del ensayo clínico.</w:t>
      </w:r>
      <w:r>
        <w:rPr>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5BD563E8" w14:textId="77777777" w:rsidR="001972B2" w:rsidRDefault="00000000">
      <w:pPr>
        <w:pStyle w:val="Ttulo1"/>
        <w:spacing w:before="320" w:after="120"/>
      </w:pPr>
      <w:r>
        <w:rPr>
          <w:b/>
          <w:bCs/>
          <w:color w:val="1E3A5F"/>
          <w:sz w:val="26"/>
          <w:szCs w:val="26"/>
        </w:rPr>
        <w:t>9.8  Limitaciones integradas del arco analítico</w:t>
      </w:r>
    </w:p>
    <w:p w14:paraId="246698CB" w14:textId="77777777" w:rsidR="001972B2" w:rsidRDefault="00000000">
      <w:pPr>
        <w:spacing w:after="160" w:line="360" w:lineRule="auto"/>
        <w:jc w:val="both"/>
      </w:pPr>
      <w:r>
        <w:rPr>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w:t>
      </w:r>
      <w:r>
        <w:rPr>
          <w:sz w:val="24"/>
          <w:szCs w:val="24"/>
        </w:rPr>
        <w:lastRenderedPageBreak/>
        <w:t>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0F00719A" w14:textId="77777777" w:rsidR="001972B2" w:rsidRDefault="00000000">
      <w:pPr>
        <w:pStyle w:val="Ttulo1"/>
        <w:spacing w:before="320" w:after="120"/>
      </w:pPr>
      <w:r>
        <w:rPr>
          <w:b/>
          <w:bCs/>
          <w:color w:val="1E3A5F"/>
          <w:sz w:val="26"/>
          <w:szCs w:val="26"/>
        </w:rPr>
        <w:t>9.9  Síntesis: contribuciones principales</w:t>
      </w:r>
    </w:p>
    <w:p w14:paraId="1F12C9DC" w14:textId="77777777" w:rsidR="001972B2" w:rsidRDefault="00000000">
      <w:pPr>
        <w:spacing w:after="160" w:line="360" w:lineRule="auto"/>
        <w:jc w:val="both"/>
        <w:rPr>
          <w:sz w:val="24"/>
          <w:szCs w:val="24"/>
        </w:rPr>
      </w:pPr>
      <w:r>
        <w:rPr>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84.248 eventos mediante K-means sobre curvas PCA-reducidas no tiene precedente a esa escala en oximetría portátil, y propone un marco operacional transferible a otras cohortes (Terrill, 2020; Biedebach et al., 2025). Segunda: el ARI como dimensión ortogonal a la severidad hipóxica (ρ = 0,034)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w:t>
      </w:r>
      <w:r>
        <w:rPr>
          <w:sz w:val="24"/>
          <w:szCs w:val="24"/>
        </w:rPr>
        <w:lastRenderedPageBreak/>
        <w:t>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0CFF5766" w14:textId="3C513769" w:rsidR="007F742E" w:rsidRPr="007F742E" w:rsidRDefault="007F742E">
      <w:pPr>
        <w:spacing w:after="160" w:line="360" w:lineRule="auto"/>
        <w:jc w:val="both"/>
        <w:rPr>
          <w:sz w:val="24"/>
          <w:szCs w:val="24"/>
        </w:rPr>
      </w:pPr>
      <w:r w:rsidRPr="007F742E">
        <w:rPr>
          <w:sz w:val="24"/>
          <w:szCs w:val="24"/>
        </w:rPr>
        <w:t>Bajo la lupa del Proyecto PAC, una noche de sueño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2ED6B724" w14:textId="13329B3B" w:rsidR="001972B2" w:rsidRDefault="001972B2">
      <w:pPr>
        <w:spacing w:after="160" w:line="360" w:lineRule="auto"/>
        <w:jc w:val="both"/>
      </w:pPr>
    </w:p>
    <w:sectPr w:rsidR="001972B2">
      <w:headerReference w:type="default" r:id="rId7"/>
      <w:footerReference w:type="default" r:id="rId8"/>
      <w:pgSz w:w="11906" w:h="16838"/>
      <w:pgMar w:top="1701" w:right="1418" w:bottom="1701"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6F10" w14:textId="77777777" w:rsidR="00407102" w:rsidRDefault="00407102">
      <w:r>
        <w:separator/>
      </w:r>
    </w:p>
  </w:endnote>
  <w:endnote w:type="continuationSeparator" w:id="0">
    <w:p w14:paraId="4E9E6B22" w14:textId="77777777" w:rsidR="00407102" w:rsidRDefault="00407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305A" w14:textId="77777777" w:rsidR="001972B2" w:rsidRDefault="00000000">
    <w:pPr>
      <w:pBdr>
        <w:top w:val="single" w:sz="4" w:space="4" w:color="D1D5DB"/>
      </w:pBdr>
      <w:spacing w:before="120"/>
      <w:jc w:val="right"/>
    </w:pPr>
    <w:r>
      <w:rPr>
        <w:color w:val="6B7280"/>
        <w:sz w:val="16"/>
        <w:szCs w:val="16"/>
      </w:rPr>
      <w:t xml:space="preserve">Roberto Inza · Universidad Austral · 2026   </w:t>
    </w:r>
    <w:r>
      <w:rPr>
        <w:color w:val="6B7280"/>
        <w:sz w:val="16"/>
        <w:szCs w:val="16"/>
      </w:rPr>
      <w:fldChar w:fldCharType="begin"/>
    </w:r>
    <w:r>
      <w:rPr>
        <w:color w:val="6B7280"/>
        <w:sz w:val="16"/>
        <w:szCs w:val="16"/>
      </w:rPr>
      <w:instrText>PAGE</w:instrText>
    </w:r>
    <w:r>
      <w:rPr>
        <w:color w:val="6B7280"/>
        <w:sz w:val="16"/>
        <w:szCs w:val="16"/>
      </w:rPr>
      <w:fldChar w:fldCharType="separate"/>
    </w:r>
    <w:r w:rsidR="007F742E">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FE0DB" w14:textId="77777777" w:rsidR="00407102" w:rsidRDefault="00407102">
      <w:r>
        <w:separator/>
      </w:r>
    </w:p>
  </w:footnote>
  <w:footnote w:type="continuationSeparator" w:id="0">
    <w:p w14:paraId="0FA53BDF" w14:textId="77777777" w:rsidR="00407102" w:rsidRDefault="00407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2E4E" w14:textId="77777777" w:rsidR="001972B2" w:rsidRDefault="00000000">
    <w:pPr>
      <w:pBdr>
        <w:bottom w:val="single" w:sz="4" w:space="4" w:color="1E3A5F"/>
      </w:pBdr>
      <w:tabs>
        <w:tab w:val="right" w:pos="9026"/>
      </w:tabs>
    </w:pPr>
    <w:r>
      <w:rPr>
        <w:color w:val="6B7280"/>
        <w:sz w:val="16"/>
        <w:szCs w:val="16"/>
      </w:rPr>
      <w:t>Proyecto PAC · Tesis de Maestría</w:t>
    </w:r>
    <w:r>
      <w:rPr>
        <w:sz w:val="16"/>
        <w:szCs w:val="16"/>
      </w:rPr>
      <w:tab/>
    </w:r>
    <w:r w:rsidRPr="007F742E">
      <w:rPr>
        <w:i/>
        <w:iCs/>
        <w:color w:val="6B7280"/>
        <w:sz w:val="16"/>
        <w:szCs w:val="16"/>
      </w:rPr>
      <w:t>Capítulo 9 — Discusión</w:t>
    </w:r>
    <w:r>
      <w:rPr>
        <w:color w:val="6B7280"/>
        <w:sz w:val="16"/>
        <w:szCs w:val="16"/>
      </w:rPr>
      <w:t xml:space="preserve">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5C35"/>
    <w:multiLevelType w:val="hybridMultilevel"/>
    <w:tmpl w:val="6840E4E8"/>
    <w:lvl w:ilvl="0" w:tplc="28FA65FC">
      <w:start w:val="1"/>
      <w:numFmt w:val="bullet"/>
      <w:lvlText w:val="●"/>
      <w:lvlJc w:val="left"/>
      <w:pPr>
        <w:ind w:left="720" w:hanging="360"/>
      </w:pPr>
    </w:lvl>
    <w:lvl w:ilvl="1" w:tplc="ED36CF6C">
      <w:start w:val="1"/>
      <w:numFmt w:val="bullet"/>
      <w:lvlText w:val="○"/>
      <w:lvlJc w:val="left"/>
      <w:pPr>
        <w:ind w:left="1440" w:hanging="360"/>
      </w:pPr>
    </w:lvl>
    <w:lvl w:ilvl="2" w:tplc="DD8E3B0C">
      <w:start w:val="1"/>
      <w:numFmt w:val="bullet"/>
      <w:lvlText w:val="■"/>
      <w:lvlJc w:val="left"/>
      <w:pPr>
        <w:ind w:left="2160" w:hanging="360"/>
      </w:pPr>
    </w:lvl>
    <w:lvl w:ilvl="3" w:tplc="9232203E">
      <w:start w:val="1"/>
      <w:numFmt w:val="bullet"/>
      <w:lvlText w:val="●"/>
      <w:lvlJc w:val="left"/>
      <w:pPr>
        <w:ind w:left="2880" w:hanging="360"/>
      </w:pPr>
    </w:lvl>
    <w:lvl w:ilvl="4" w:tplc="6C72ED26">
      <w:start w:val="1"/>
      <w:numFmt w:val="bullet"/>
      <w:lvlText w:val="○"/>
      <w:lvlJc w:val="left"/>
      <w:pPr>
        <w:ind w:left="3600" w:hanging="360"/>
      </w:pPr>
    </w:lvl>
    <w:lvl w:ilvl="5" w:tplc="8A6001BC">
      <w:start w:val="1"/>
      <w:numFmt w:val="bullet"/>
      <w:lvlText w:val="■"/>
      <w:lvlJc w:val="left"/>
      <w:pPr>
        <w:ind w:left="4320" w:hanging="360"/>
      </w:pPr>
    </w:lvl>
    <w:lvl w:ilvl="6" w:tplc="DEAE415C">
      <w:start w:val="1"/>
      <w:numFmt w:val="bullet"/>
      <w:lvlText w:val="●"/>
      <w:lvlJc w:val="left"/>
      <w:pPr>
        <w:ind w:left="5040" w:hanging="360"/>
      </w:pPr>
    </w:lvl>
    <w:lvl w:ilvl="7" w:tplc="E9C27528">
      <w:start w:val="1"/>
      <w:numFmt w:val="bullet"/>
      <w:lvlText w:val="●"/>
      <w:lvlJc w:val="left"/>
      <w:pPr>
        <w:ind w:left="5760" w:hanging="360"/>
      </w:pPr>
    </w:lvl>
    <w:lvl w:ilvl="8" w:tplc="0BCE1DA8">
      <w:start w:val="1"/>
      <w:numFmt w:val="bullet"/>
      <w:lvlText w:val="●"/>
      <w:lvlJc w:val="left"/>
      <w:pPr>
        <w:ind w:left="6480" w:hanging="360"/>
      </w:pPr>
    </w:lvl>
  </w:abstractNum>
  <w:num w:numId="1" w16cid:durableId="2061438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2B2"/>
    <w:rsid w:val="001972B2"/>
    <w:rsid w:val="00407102"/>
    <w:rsid w:val="007F742E"/>
    <w:rsid w:val="008339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DEE140F"/>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F742E"/>
    <w:pPr>
      <w:tabs>
        <w:tab w:val="center" w:pos="4419"/>
        <w:tab w:val="right" w:pos="8838"/>
      </w:tabs>
    </w:pPr>
  </w:style>
  <w:style w:type="character" w:customStyle="1" w:styleId="EncabezadoCar">
    <w:name w:val="Encabezado Car"/>
    <w:basedOn w:val="Fuentedeprrafopredeter"/>
    <w:link w:val="Encabezado"/>
    <w:uiPriority w:val="99"/>
    <w:rsid w:val="007F742E"/>
  </w:style>
  <w:style w:type="paragraph" w:styleId="Piedepgina">
    <w:name w:val="footer"/>
    <w:basedOn w:val="Normal"/>
    <w:link w:val="PiedepginaCar"/>
    <w:uiPriority w:val="99"/>
    <w:unhideWhenUsed/>
    <w:rsid w:val="007F742E"/>
    <w:pPr>
      <w:tabs>
        <w:tab w:val="center" w:pos="4419"/>
        <w:tab w:val="right" w:pos="8838"/>
      </w:tabs>
    </w:pPr>
  </w:style>
  <w:style w:type="character" w:customStyle="1" w:styleId="PiedepginaCar">
    <w:name w:val="Pie de página Car"/>
    <w:basedOn w:val="Fuentedeprrafopredeter"/>
    <w:link w:val="Piedepgina"/>
    <w:uiPriority w:val="99"/>
    <w:rsid w:val="007F7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2796</Words>
  <Characters>15831</Characters>
  <Application>Microsoft Office Word</Application>
  <DocSecurity>0</DocSecurity>
  <Lines>243</Lines>
  <Paragraphs>39</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2026-06-06T22:45:00Z</dcterms:created>
  <dcterms:modified xsi:type="dcterms:W3CDTF">2026-06-07T01:22:00Z</dcterms:modified>
</cp:coreProperties>
</file>