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ptos" w:cs="Aptos" w:eastAsia="Aptos" w:hAnsi="Aptos"/>
          <w:b/>
          <w:bCs/>
          <w:color w:val="6B7280"/>
          <w:sz w:val="20"/>
          <w:szCs w:val="20"/>
        </w:rPr>
        <w:t xml:space="preserve">CAPÍTULO 9</w:t>
      </w:r>
    </w:p>
    <w:p>
      <w:pPr>
        <w:spacing w:after="80" w:before="0"/>
      </w:pPr>
      <w:r>
        <w:rPr>
          <w:rFonts w:ascii="Aptos" w:cs="Aptos" w:eastAsia="Aptos" w:hAnsi="Aptos"/>
          <w:b/>
          <w:bCs/>
          <w:color w:val="1E3A5F"/>
          <w:sz w:val="36"/>
          <w:szCs w:val="36"/>
        </w:rPr>
        <w:t xml:space="preserve">Discusión</w:t>
      </w:r>
    </w:p>
    <w:p>
      <w:pPr>
        <w:spacing w:after="400" w:before="0"/>
      </w:pPr>
      <w:r>
        <w:rPr>
          <w:rFonts w:ascii="Aptos" w:cs="Aptos" w:eastAsia="Aptos" w:hAnsi="Aptos"/>
          <w:color w:val="666666"/>
          <w:sz w:val="18"/>
          <w:szCs w:val="18"/>
        </w:rPr>
        <w:t xml:space="preserve">Versión 14  ·  Junio 2026</w:t>
      </w:r>
    </w:p>
    <w:p>
      <w:pPr>
        <w:spacing w:after="160" w:before="0" w:line="360"/>
        <w:jc w:val="both"/>
      </w:pPr>
      <w:r>
        <w:rPr>
          <w:rFonts w:ascii="Aptos" w:cs="Aptos" w:eastAsia="Aptos" w:hAnsi="Aptos"/>
          <w:b w:val="false"/>
          <w:bCs w:val="false"/>
          <w:sz w:val="24"/>
          <w:szCs w:val="24"/>
        </w:rPr>
        <w:t xml:space="preserve">Analizar la fisiología nocturna del SAOS desde un único sensor portátil plantea dos problemas simultáneos: de representación, porque es necesario extraer información compacta e interpretable de millones de muestras sin perder la estructura que distingue pacientes y noches; y de escala, porque esas representaciones deben ser válidas sobre una cohorte con alta variabilidad intraindividual y sin polisomnografía de referencia. El Proyecto de Procesamiento Autonómico Continuo (Proyecto PAC) construye una respuesta en cuatro contribuciones articuladas: el fenotipado morfológico de cada evento de desaturación de oxígeno (EDO) junto con el Índice de Reactividad Autonómica (ARI); la representación dinámica de la noche como sistema de estados multiescala; el acoplamiento entre morfotipos y estados como estructura no aleatoria del riesgo; y la predicción prospectiva con horizonte terapéutico. Frente a la literatura, esas cuatro contribuciones no se ubican todas en el mismo plano: para algunas existe trabajo previo con el que compararse; para otras, el Proyecto PAC es la primera fuente que las aborda a esta escala y con esta metodología.</w:t>
      </w:r>
    </w:p>
    <w:p>
      <w:pPr>
        <w:pStyle w:val="Heading1"/>
        <w:spacing w:after="120" w:before="320"/>
      </w:pPr>
      <w:r>
        <w:rPr>
          <w:rFonts w:ascii="Aptos" w:cs="Aptos" w:eastAsia="Aptos" w:hAnsi="Aptos"/>
          <w:b/>
          <w:bCs/>
          <w:color w:val="1E3A5F"/>
          <w:sz w:val="26"/>
          <w:szCs w:val="26"/>
        </w:rPr>
        <w:t xml:space="preserve">9.1  Índices de evento e índices agregados nocturnos</w:t>
      </w:r>
    </w:p>
    <w:p>
      <w:pPr>
        <w:spacing w:after="160" w:before="0" w:line="360"/>
        <w:jc w:val="both"/>
      </w:pPr>
      <w:r>
        <w:rPr>
          <w:rFonts w:ascii="Aptos" w:cs="Aptos" w:eastAsia="Aptos" w:hAnsi="Aptos"/>
          <w:b w:val="false"/>
          <w:bCs w:val="false"/>
          <w:sz w:val="24"/>
          <w:szCs w:val="24"/>
        </w:rPr>
        <w:t xml:space="preserve">La literatura reciente ha avanzado más allá del AHI y el ODI3 en la misma dirección que motiva este trabajo: Azarbarzin et al. (2019) demostraron que la carga hipóxica predice mortalidad cardiovascular independientemente del AHI en más de 7.000 pacientes; Sands et al. (2021) proponen descomponer el fenotipo del SAOS en cuatro rasgos fisiopatológicos independientes, cada uno variable independientemente del índice de frecuencia. Aun así, T90 y carga hipóxica siguen siendo índices agregados nocturnos: integran la exposición hipóxica de la noche completa pero no capturan la morfología de los eventos individuales, su distribución temporal ni la respuesta autonómica que producen. El pipeline PAC_v3 no compite con ninguno de estos índices —los calcula, los usa como referencia y los valida— sino que añade la dimensión estructural que suprimen: morfología de la curva SpO₂ a nivel de evento y organización dinámica temporal de la noche a nivel multiescala.</w:t>
      </w:r>
    </w:p>
    <w:p>
      <w:pPr>
        <w:pStyle w:val="Heading1"/>
        <w:spacing w:after="120" w:before="320"/>
      </w:pPr>
      <w:r>
        <w:rPr>
          <w:rFonts w:ascii="Aptos" w:cs="Aptos" w:eastAsia="Aptos" w:hAnsi="Aptos"/>
          <w:b/>
          <w:bCs/>
          <w:color w:val="1E3A5F"/>
          <w:sz w:val="26"/>
          <w:szCs w:val="26"/>
        </w:rPr>
        <w:t xml:space="preserve">9.2  Fenotipado morfológico de EDOs: morfotipos C1–C5 y el ARI en perspectiva</w:t>
      </w:r>
    </w:p>
    <w:p>
      <w:pPr>
        <w:pStyle w:val="Heading2"/>
        <w:spacing w:after="100" w:before="240"/>
      </w:pPr>
      <w:r>
        <w:rPr>
          <w:rFonts w:ascii="Aptos" w:cs="Aptos" w:eastAsia="Aptos" w:hAnsi="Aptos"/>
          <w:b/>
          <w:bCs/>
          <w:color w:val="1E3A5F"/>
          <w:sz w:val="23"/>
          <w:szCs w:val="23"/>
        </w:rPr>
        <w:t xml:space="preserve">9.2.1  Los morfotipos de curvas SpO₂ frente a la literatura</w:t>
      </w:r>
    </w:p>
    <w:p>
      <w:pPr>
        <w:spacing w:after="160" w:before="0" w:line="360"/>
        <w:jc w:val="both"/>
      </w:pPr>
      <w:r>
        <w:rPr>
          <w:rFonts w:ascii="Aptos" w:cs="Aptos" w:eastAsia="Aptos" w:hAnsi="Aptos"/>
          <w:b w:val="false"/>
          <w:bCs w:val="false"/>
          <w:sz w:val="24"/>
          <w:szCs w:val="24"/>
        </w:rPr>
        <w:t xml:space="preserve">El fenotipado morfológico de eventos individuales de desaturación mediante métodos no supervisados sobre la curva completa de SpO₂ no tiene precedente directo en la literatura a la escala del Proyecto PAC: los trabajos más cercanos operan sobre características univariadas —duración, profundidad— sin abordar la forma completa de la curva normalizada como objeto de clustering (Terrill, 2020; Biedebach et al., 2025). La estructura morfológica resultante es fisiológicamente coherente: PC1 captura la profundidad de la caída y organiza los morfotipos en un gradiente de severidad creciente; C4+C5 (6,1 % de los eventos) concentran una fracción desproporcionada de carga hipóxica acumulada; la estabilidad inter-noche moderada (ICC) es coherente con la consistencia de los mecanismos fisiopatológicos dominantes descrita por Eckert et al. (2013). Un hallazgo analítico con implicancias de diseño: el IEI mediano de 82 s (62,8 % de pares &lt; 2 min) justifica retroactivamente el baseline móvil de 120 s adoptado en la detección de EDOs —equilibrio entre absorber el efecto residual de la desaturación anterior y evitar inercia excesiva en pacientes con hipoxemia basal persistente— que de otro modo sería una convención arbitraria. Que la estructura observada en los datos valide una decisión metodológica del pipeline es, en sí misma, una forma de validación interna.</w:t>
      </w:r>
    </w:p>
    <w:p>
      <w:pPr>
        <w:pStyle w:val="Heading2"/>
        <w:spacing w:after="100" w:before="240"/>
      </w:pPr>
      <w:r>
        <w:rPr>
          <w:rFonts w:ascii="Aptos" w:cs="Aptos" w:eastAsia="Aptos" w:hAnsi="Aptos"/>
          <w:b/>
          <w:bCs/>
          <w:color w:val="1E3A5F"/>
          <w:sz w:val="23"/>
          <w:szCs w:val="23"/>
        </w:rPr>
        <w:t xml:space="preserve">9.2.2  El ARI: una dimensión ortogonal a la severidad hipóxica</w:t>
      </w:r>
    </w:p>
    <w:p>
      <w:pPr>
        <w:spacing w:after="160" w:before="0" w:line="360"/>
        <w:jc w:val="both"/>
      </w:pPr>
      <w:r>
        <w:rPr>
          <w:rFonts w:ascii="Aptos" w:cs="Aptos" w:eastAsia="Aptos" w:hAnsi="Aptos"/>
          <w:b w:val="false"/>
          <w:bCs w:val="false"/>
          <w:sz w:val="24"/>
          <w:szCs w:val="24"/>
        </w:rPr>
        <w:t xml:space="preserve">El ARI es una de las contribuciones metodológicas más originales del Proyecto PAC. La ortogonalidad con el ODI3 (ρ = 0,034; n = 85.277 EDOs) implica que la respuesta autonómica cardíaca y motora de un evento es estadísticamente independiente de su frecuencia nocturna, con coherencia fisiopatológica directa: el arousal cortical asociado a los eventos respiratorios está parcialmente disociado de la severidad de la desaturación (Wellman et al., 2011), y el ARI operacionaliza esa relación desde oximetría y acelerometría sin requerir EEG. El gradiente autonómico inverso —C5 presenta el ARI más bajo del corpus (0,423 ± 0,104), no el más alto— es contraintuitivo pero coherente con la adaptación del quimiorreceptor carotídeo ante exposición hipóxica crónica (Prabhakar, 2016; Narkiewicz &amp; Somers, 2003); la causalidad no puede establecerse desde datos observacionales transversales. El ICC(1,1) del ARI (0,69/0,74) confirma su estabilidad moderada como rasgo del individuo: alcanza el umbral operacional de reproducibilidad desde la primera noche de registro, mientras el ODI3 requiere en promedio siete —una asimetría clínicamente relevante para protocolos de tamizaje rápido.</w:t>
      </w:r>
    </w:p>
    <w:p>
      <w:pPr>
        <w:pStyle w:val="Heading1"/>
        <w:spacing w:after="120" w:before="320"/>
      </w:pPr>
      <w:r>
        <w:rPr>
          <w:rFonts w:ascii="Aptos" w:cs="Aptos" w:eastAsia="Aptos" w:hAnsi="Aptos"/>
          <w:b/>
          <w:bCs/>
          <w:color w:val="1E3A5F"/>
          <w:sz w:val="26"/>
          <w:szCs w:val="26"/>
        </w:rPr>
        <w:t xml:space="preserve">9.3  PAC States: la fisiología nocturna como sistema dinámico multiescala</w:t>
      </w:r>
    </w:p>
    <w:p>
      <w:pPr>
        <w:pStyle w:val="Heading2"/>
        <w:spacing w:after="100" w:before="240"/>
      </w:pPr>
      <w:r>
        <w:rPr>
          <w:rFonts w:ascii="Aptos" w:cs="Aptos" w:eastAsia="Aptos" w:hAnsi="Aptos"/>
          <w:b/>
          <w:bCs/>
          <w:color w:val="1E3A5F"/>
          <w:sz w:val="23"/>
          <w:szCs w:val="23"/>
        </w:rPr>
        <w:t xml:space="preserve">9.3.1  Representación del sueño como secuencia de estados</w:t>
      </w:r>
    </w:p>
    <w:p>
      <w:pPr>
        <w:spacing w:after="160" w:before="0" w:line="360"/>
        <w:jc w:val="both"/>
      </w:pPr>
      <w:r>
        <w:rPr>
          <w:rFonts w:ascii="Aptos" w:cs="Aptos" w:eastAsia="Aptos" w:hAnsi="Aptos"/>
          <w:b w:val="false"/>
          <w:bCs w:val="false"/>
          <w:sz w:val="24"/>
          <w:szCs w:val="24"/>
        </w:rPr>
        <w:t xml:space="preserve">El uso de sistemas de estados para representar la dinámica nocturna tiene antecedentes en análisis de EEG y señales cardíacas, donde la arquitectura del sueño se infiere a partir de patrones de actividad cortical. La innovación del sistema PAC States es triple: construye los estados sobre señales de oximetría portátil sin EEG ni PSG; adopta una arquitectura triescala simultánea (30 s, 5 min, 30 min); y la especialización funcional entre escalas emergió del clustering sobre los datos, sin ser impuesta por diseño. Los estados PAC no se mapean a los estadios AASM —definidos sobre actividad cortical— porque fueron construidos con un objetivo distinto: capturar la regulación autonómica y respiratoria nocturna, una dimensión que la taxonomía cortical no resuelve.</w:t>
      </w:r>
    </w:p>
    <w:p>
      <w:pPr>
        <w:pStyle w:val="Heading2"/>
        <w:spacing w:after="100" w:before="240"/>
      </w:pPr>
      <w:r>
        <w:rPr>
          <w:rFonts w:ascii="Aptos" w:cs="Aptos" w:eastAsia="Aptos" w:hAnsi="Aptos"/>
          <w:b/>
          <w:bCs/>
          <w:color w:val="1E3A5F"/>
          <w:sz w:val="23"/>
          <w:szCs w:val="23"/>
        </w:rPr>
        <w:t xml:space="preserve">9.3.2  Especialización funcional y variabilidad intraindividual</w:t>
      </w:r>
    </w:p>
    <w:p>
      <w:pPr>
        <w:spacing w:after="160" w:before="0" w:line="360"/>
        <w:jc w:val="both"/>
      </w:pPr>
      <w:r>
        <w:rPr>
          <w:rFonts w:ascii="Aptos" w:cs="Aptos" w:eastAsia="Aptos" w:hAnsi="Aptos"/>
          <w:b w:val="false"/>
          <w:bCs w:val="false"/>
          <w:sz w:val="24"/>
          <w:szCs w:val="24"/>
        </w:rPr>
        <w:t xml:space="preserve">La escala S predice mejor la frecuencia de eventos (ρ S4 = +0,691); la escala M predice la carga hipóxica integrada (ρ M1 = +0,744); la escala L captura la arquitectura global (ρ L0 = +0,705); y la reactividad autonómica se expresa en S5 (ρ = +0,637). Esta disociación implica que la severidad del SAOS no puede reducirse a un único índice: la estructura temporal importa de manera diferente según la dimensión que se busque cuantificar. El hallazgo más revelador es la ausencia de diferenciación del ARI entre los tres fenotipos nocturnos de severidad creciente (diferencia máxima &lt; 0,03): la reactividad es una propiedad estable del sistema cardiovascular del paciente que se expresa transversalmente a todo el perfil, no una función de la severidad nocturna. La variabilidad intraindividual que la literatura clásica trata como ruido estadístico (Masa et al., 2011) es en el Proyecto PAC información diagnóstica: la misma persona puede contribuir noches a los tres perfiles de trayectoria según factores situacionales, y el estado PAC activo en las primeras horas de la noche tiene valor predictivo sobre el perfil que seguirá el resto.</w:t>
      </w:r>
    </w:p>
    <w:p>
      <w:pPr>
        <w:pStyle w:val="Heading1"/>
        <w:spacing w:after="120" w:before="320"/>
      </w:pPr>
      <w:r>
        <w:rPr>
          <w:rFonts w:ascii="Aptos" w:cs="Aptos" w:eastAsia="Aptos" w:hAnsi="Aptos"/>
          <w:b/>
          <w:bCs/>
          <w:color w:val="1E3A5F"/>
          <w:sz w:val="26"/>
          <w:szCs w:val="26"/>
        </w:rPr>
        <w:t xml:space="preserve">9.4  Acoplamiento morfotipo–estado: la estructura no aleatoria del riesgo nocturno</w:t>
      </w:r>
    </w:p>
    <w:p>
      <w:pPr>
        <w:spacing w:after="160" w:before="0" w:line="360"/>
        <w:jc w:val="both"/>
      </w:pPr>
      <w:r>
        <w:rPr>
          <w:rFonts w:ascii="Aptos" w:cs="Aptos" w:eastAsia="Aptos" w:hAnsi="Aptos"/>
          <w:b w:val="false"/>
          <w:bCs w:val="false"/>
          <w:sz w:val="24"/>
          <w:szCs w:val="24"/>
        </w:rPr>
        <w:t xml:space="preserve">El acoplamiento morfotipo–estado es real en las tres escalas (V de Cramér = 0,355 en S, 0,229 en M, 0,194 en L; 83.892 eventos) con magnitudes de riesgo relativo clínicamente interpretables: el estado S6 multiplica por 4,9 la probabilidad de observar un morfotipo severo respecto de la marginal del corpus. La cuantificación de este acoplamiento sobre más de 83.000 eventos sin instrumentación adicional ni anotación manual no tiene precedente directo en la literatura de monitoreo domiciliario del SAOS. El análisis de resiliencia post-evento revela el mecanismo que hace posible la predicción prospectiva: la recuperación a un estado protector tras un evento severo es posible en la escala de 30 s (43,3 %), rara a los 5 min (12,3 %) y prácticamente inexistente a los 30 min (1,3 %). Esta inercia creciente implica que los estados patológicos son persistentes y, por tanto, que la señal de alerta llega antes de que el evento ocurra —precisamente lo que el módulo NB08 explota.</w:t>
      </w:r>
    </w:p>
    <w:p>
      <w:pPr>
        <w:pStyle w:val="Heading1"/>
        <w:spacing w:after="120" w:before="320"/>
      </w:pPr>
      <w:r>
        <w:rPr>
          <w:rFonts w:ascii="Aptos" w:cs="Aptos" w:eastAsia="Aptos" w:hAnsi="Aptos"/>
          <w:b/>
          <w:bCs/>
          <w:color w:val="1E3A5F"/>
          <w:sz w:val="26"/>
          <w:szCs w:val="26"/>
        </w:rPr>
        <w:t xml:space="preserve">9.5  Los modelos de predicción frente a la literatura</w:t>
      </w:r>
    </w:p>
    <w:p>
      <w:pPr>
        <w:spacing w:after="160" w:before="0" w:line="360"/>
        <w:jc w:val="both"/>
      </w:pPr>
      <w:r>
        <w:rPr>
          <w:rFonts w:ascii="Aptos" w:cs="Aptos" w:eastAsia="Aptos" w:hAnsi="Aptos"/>
          <w:b w:val="false"/>
          <w:bCs w:val="false"/>
          <w:sz w:val="24"/>
          <w:szCs w:val="24"/>
        </w:rPr>
        <w:t xml:space="preserve">El Proyecto PAC produce dos tipos de resultado predictivo que la literatura raramente evalúa en el mismo framework: la clasificación condicionada (dado que un evento está ocurriendo, ¿cuál es su morfotipo?) y la predicción prospectiva genuina (¿ocurrirá un evento severo en los próximos H minutos?). La diferencia de 8 pts de AUC entre ambos módulos (0,905 nocturno → 0,821 a H = 5 min) cuantifica el costo informativo de la prospectividad. Frente a la literatura, el resultado es competitivo: Behar et al. (2019) reportan AUC de 0,75–0,82 para predicción de desaturaciones con oxímetro en ventanas de 5–10 min; Clifton et al. (2015) reportan AUC de 0,78–0,85 para deterioro clínico hospitalario. La ventaja diferencial de NB08 es la validación LOPO-CV estricta, que —a diferencia de la partición aleatoria de ventanas habitual en la literatura— controla la dependencia longitudinal y limita el n efectivo al número de pacientes, produciendo una estimación conservadora y metodológicamente limpia. El que ci_sofar (historia acumulada del acoplamiento) ocupe el top-3 de importancia en todos los horizontes constituye además una validación prospectiva de la estructura de acoplamiento descrita en §9.4: si el acoplamiento fuera un artefacto espurio, no debería predecir eventos futuros con esa consistencia.</w:t>
      </w:r>
    </w:p>
    <w:p>
      <w:pPr>
        <w:spacing w:after="160" w:before="0" w:line="360"/>
        <w:jc w:val="both"/>
      </w:pPr>
      <w:r>
        <w:rPr>
          <w:rFonts w:ascii="Aptos" w:cs="Aptos" w:eastAsia="Aptos" w:hAnsi="Aptos"/>
          <w:b w:val="false"/>
          <w:bCs w:val="false"/>
          <w:sz w:val="24"/>
          <w:szCs w:val="24"/>
        </w:rPr>
        <w:t xml:space="preserve">El lead time de H = 5 min no es solo el horizonte de mejor AUC: es la condición algorítmica mínima para que una intervención adaptativa sea plausible. La cadena estándar de validación de dispositivos médicos adaptativos distingue tres fases —analítica, de factibilidad y clínica—. El Proyecto PAC completa las dos primeras: las representaciones PAC contienen información predictiva prospectiva generalizable entre pacientes, y H = 5 min supera por un factor mayor a 3 el margen de activación requerido por el estimulador transcutáneo del SOMNI 6000 (≥ 90 s; Clifton et al., 2015). La tercera fase, el ensayo clínico controlado, es trabajo futuro explícito cuyo diseño se articula en §9.7.</w:t>
      </w:r>
    </w:p>
    <w:p>
      <w:pPr>
        <w:pStyle w:val="Heading1"/>
        <w:spacing w:after="120" w:before="320"/>
      </w:pPr>
      <w:r>
        <w:rPr>
          <w:rFonts w:ascii="Aptos" w:cs="Aptos" w:eastAsia="Aptos" w:hAnsi="Aptos"/>
          <w:b/>
          <w:bCs/>
          <w:color w:val="1E3A5F"/>
          <w:sz w:val="26"/>
          <w:szCs w:val="26"/>
        </w:rPr>
        <w:t xml:space="preserve">9.6  Oximetría domiciliaria como plataforma de fenotipado frente al PSG</w:t>
      </w:r>
    </w:p>
    <w:p>
      <w:pPr>
        <w:spacing w:after="160" w:before="0" w:line="360"/>
        <w:jc w:val="both"/>
      </w:pPr>
      <w:r>
        <w:rPr>
          <w:rFonts w:ascii="Aptos" w:cs="Aptos" w:eastAsia="Aptos" w:hAnsi="Aptos"/>
          <w:b w:val="false"/>
          <w:bCs w:val="false"/>
          <w:sz w:val="24"/>
          <w:szCs w:val="24"/>
        </w:rPr>
        <w:t xml:space="preserve">El posicionamiento del monitoreo domiciliario como enfoque complementario —no sustituto— de la PSG quedó establecido en el marco teórico. Lo que los resultados permiten añadir es una afirmación más precisa: la ventaja analítica del pipeline PAC_v3 no reside en el tipo de sensor sino en el diseño longitudinal. Las 553 noches de calidad de 12 pacientes generan un corpus de morfotipos, estados y coupling cuya escala y representatividad ecológica no es reproducible en una sola noche de laboratorio. La pregunta empírica que queda abierta —cuánta información adicional aportaría el EEG sobre los morfotipos y estados ya identificados— requiere una cohorte con PSG simultánea y constituye trabajo futuro explícito.</w:t>
      </w:r>
    </w:p>
    <w:p>
      <w:pPr>
        <w:pStyle w:val="Heading1"/>
        <w:spacing w:after="120" w:before="320"/>
      </w:pPr>
      <w:r>
        <w:rPr>
          <w:rFonts w:ascii="Aptos" w:cs="Aptos" w:eastAsia="Aptos" w:hAnsi="Aptos"/>
          <w:b/>
          <w:bCs/>
          <w:color w:val="1E3A5F"/>
          <w:sz w:val="26"/>
          <w:szCs w:val="26"/>
        </w:rPr>
        <w:t xml:space="preserve">9.7  Hacia la terapéutica automática del SAOS severo: condición algorítmica y agenda clínica</w:t>
      </w:r>
    </w:p>
    <w:p>
      <w:pPr>
        <w:spacing w:after="160" w:before="0" w:line="360"/>
        <w:jc w:val="both"/>
      </w:pPr>
      <w:r>
        <w:rPr>
          <w:rFonts w:ascii="Aptos" w:cs="Aptos" w:eastAsia="Aptos" w:hAnsi="Aptos"/>
          <w:b w:val="false"/>
          <w:bCs w:val="false"/>
          <w:sz w:val="24"/>
          <w:szCs w:val="24"/>
        </w:rPr>
        <w:t xml:space="preserve">Lo que §9.7 agrega a las secciones precedentes es la lectura integrada del arco: qué habilita el conjunto y qué queda fuera de su alcance. El Proyecto PAC construyó, sobre señales de un único sensor domiciliario, una cadena de representaciones que va del evento individual al fenotipo longitudinal del paciente, y mostró que esa cadena transporta información predictiva prospectiva con horizonte clínicamente suficiente para habilitar una intervención adaptativa. Lo que esa cadena no hace —y lo que queda explícitamente fuera del alcance de esta tesis— es demostrar que la intervención sea terapéuticamente efectiva. La distinción entre factibilidad algorítmica y eficacia clínica no es una limitación retórica: es el punto de partida de la agenda de trabajo que esta sección articula.</w:t>
      </w:r>
    </w:p>
    <w:p>
      <w:pPr>
        <w:spacing w:after="160" w:before="0" w:line="360"/>
        <w:jc w:val="both"/>
      </w:pPr>
      <w:r>
        <w:rPr>
          <w:rFonts w:ascii="Aptos" w:cs="Aptos" w:eastAsia="Aptos" w:hAnsi="Aptos"/>
          <w:b/>
          <w:bCs/>
          <w:sz w:val="24"/>
          <w:szCs w:val="24"/>
        </w:rPr>
        <w:t xml:space="preserve">La heterogeneidad inter-paciente como barrera principal.</w:t>
      </w:r>
      <w:r>
        <w:rPr>
          <w:rFonts w:ascii="Aptos" w:cs="Aptos" w:eastAsia="Aptos" w:hAnsi="Aptos"/>
          <w:b w:val="false"/>
          <w:bCs w:val="false"/>
          <w:sz w:val="24"/>
          <w:szCs w:val="24"/>
        </w:rPr>
        <w:t xml:space="preserve"> La prevalencia de eventos severos varía 20 veces entre los pacientes de la cohorte (1,6 %–32,1 % a H = 5 min). Un sistema de activación calibrado globalmente sobre ese rango sería adecuado para los pacientes del centro de la distribución y subóptimo para todos los demás. La traslación clínica requiere calibración individual como primera etapa, no como optimización opcional. El diseño natural para esa calibración —un período de caracterización domiciliaria sin activación del estimulador— es también la fuente de los parámetros individuales que el pipeline PAC necesita para ajustar el umbral de activación de cada paciente. Adicionalmente, el paciente de menor prevalencia (1,6 %) muestra paradójicamente el AUC más alto (0,87): el sistema anticipa bien los eventos precisamente porque el estado fisiológico previo a ellos contrasta con el estado habitual de ese individuo. La implicancia inversa es relevante: en pacientes de alta carga hipóxica crónica, los eventos severos son el estado habitual y no el excepcional, y la discriminación requiere contraste.</w:t>
      </w:r>
    </w:p>
    <w:p>
      <w:pPr>
        <w:spacing w:after="160" w:before="0" w:line="360"/>
        <w:jc w:val="both"/>
      </w:pPr>
      <w:r>
        <w:rPr>
          <w:rFonts w:ascii="Aptos" w:cs="Aptos" w:eastAsia="Aptos" w:hAnsi="Aptos"/>
          <w:b/>
          <w:bCs/>
          <w:sz w:val="24"/>
          <w:szCs w:val="24"/>
        </w:rPr>
        <w:t xml:space="preserve">La circularidad PAC y el requisito de validación externa.</w:t>
      </w:r>
      <w:r>
        <w:rPr>
          <w:rFonts w:ascii="Aptos" w:cs="Aptos" w:eastAsia="Aptos" w:hAnsi="Aptos"/>
          <w:b w:val="false"/>
          <w:bCs w:val="false"/>
          <w:sz w:val="24"/>
          <w:szCs w:val="24"/>
        </w:rPr>
        <w:t xml:space="preserve"> Los modelos no supervisados que definen las representaciones PAC fueron construidos sobre la misma cohorte que los modelos supervisados. La validación LOPO-CV mitiga pero no elimina esta circularidad. Una cohorte externa con clusters aprendidos de forma independiente demostraría que los morfotipos y estados PAC son transferibles —que la taxonomía construida sobre 12 pacientes captura propiedades fisiológicas genéricas del SAOS, no idiosincrasias de esa cohorte particular—. Para los fines de traslación clínica, esa cohorte externa es la prueba que importa.</w:t>
      </w:r>
    </w:p>
    <w:p>
      <w:pPr>
        <w:spacing w:after="160" w:before="0" w:line="360"/>
        <w:jc w:val="both"/>
      </w:pPr>
      <w:r>
        <w:rPr>
          <w:rFonts w:ascii="Aptos" w:cs="Aptos" w:eastAsia="Aptos" w:hAnsi="Aptos"/>
          <w:b/>
          <w:bCs/>
          <w:sz w:val="24"/>
          <w:szCs w:val="24"/>
        </w:rPr>
        <w:t xml:space="preserve">El diseño del ensayo clínico.</w:t>
      </w:r>
      <w:r>
        <w:rPr>
          <w:rFonts w:ascii="Aptos" w:cs="Aptos" w:eastAsia="Aptos" w:hAnsi="Aptos"/>
          <w:b w:val="false"/>
          <w:bCs w:val="false"/>
          <w:sz w:val="24"/>
          <w:szCs w:val="24"/>
        </w:rPr>
        <w:t xml:space="preserve"> Un ensayo controlado para evaluar la eficacia terapéutica de la estimulación basada en estado PAC requeriría, como mínimo: una cohorte de 30–50 pacientes con SAOS moderado-severo con PSG basal confirmatoria —rango mínimo convencional para estudios piloto controlados de terapia adaptativa del sueño con potencia suficiente para detectar reducciones del 25–30 % en ODI3 asumiendo la variabilidad intraindividual documentada en la cohorte PAC—; una fase de caracterización domiciliaria de 7–14 noches sin estimulación para estimar los parámetros individuales del pipeline PAC; asignación aleatoria a estimulación activa vs. placebo durante 4–8 semanas; y evaluación de desenlaces primarios (ODI3, T90, carga hipóxica) y secundarios (calidad de sueño subjetiva, somnolencia diurna, presión arterial). La fase de caracterización no es solo rodaje del dispositivo: es la fuente de los parámetros individuales que el módulo NB08 necesita para operar de forma personalizada. Esa eficiencia de diseño —el período de calibración sirve simultáneamente para estimar el umbral individual y confirmar el fenotipo PAC antes de la aleatorización— no tiene equivalente en los ensayos convencionales de CPAP, cuya única fase inicial es de titulación de presión.</w:t>
      </w:r>
    </w:p>
    <w:p>
      <w:pPr>
        <w:pStyle w:val="Heading1"/>
        <w:spacing w:after="120" w:before="320"/>
      </w:pPr>
      <w:r>
        <w:rPr>
          <w:rFonts w:ascii="Aptos" w:cs="Aptos" w:eastAsia="Aptos" w:hAnsi="Aptos"/>
          <w:b/>
          <w:bCs/>
          <w:color w:val="1E3A5F"/>
          <w:sz w:val="26"/>
          <w:szCs w:val="26"/>
        </w:rPr>
        <w:t xml:space="preserve">9.8  Limitaciones integradas del arco analítico</w:t>
      </w:r>
    </w:p>
    <w:p>
      <w:pPr>
        <w:spacing w:after="160" w:before="0" w:line="360"/>
        <w:jc w:val="both"/>
      </w:pPr>
      <w:r>
        <w:rPr>
          <w:rFonts w:ascii="Aptos" w:cs="Aptos" w:eastAsia="Aptos" w:hAnsi="Aptos"/>
          <w:b w:val="false"/>
          <w:bCs w:val="false"/>
          <w:sz w:val="24"/>
          <w:szCs w:val="24"/>
        </w:rPr>
        <w:t xml:space="preserve">Las limitaciones del Proyecto PAC no son independientes: interactúan y su efecto combinado define un perfil específico de generalizabilidad. El tamaño muestral (n = 8 en cohorte estricta, reclutados en práctica médica privada especializada con sobrerepresentación del rango moderado-severo) limita la traslación a contextos de tamizaje poblacional. La ausencia de PSG simultánea impide comparar morfotipos y estados PAC con los estadios convencionales y calibrar el ODI3 como subrogante del AHI más allá de lo publicado. La circularidad PAC —modelos no supervisados construidos sobre la misma cohorte que los supervisados— es el límite metodológico más relevante del arco analítico; la LOPO-CV mitiga pero no elimina este problema, que solo se resuelve con una cohorte externa. La calibración de probabilidades de LightGBM sobreestima ~4× para el módulo prospectivo, lo que impide su uso clínico directo sin calibración explícita (Platt scaling o isotónica). Finalmente, el efecto terapéutico del estimulador es una hipótesis operacional no evaluada en esta tesis: la distinción entre factibilidad algorítmica y eficacia clínica debe mantenerse explícita. La barrera más concreta para la traslación no es el AUC sino la heterogeneidad inter-paciente (variación 20× en prevalencia), que requiere calibración individual del umbral mediante un período de rodaje sin intervención —imposible de absorber con un umbral único estático—.</w:t>
      </w:r>
    </w:p>
    <w:p>
      <w:pPr>
        <w:pStyle w:val="Heading1"/>
        <w:spacing w:after="120" w:before="320"/>
      </w:pPr>
      <w:r>
        <w:rPr>
          <w:rFonts w:ascii="Aptos" w:cs="Aptos" w:eastAsia="Aptos" w:hAnsi="Aptos"/>
          <w:b/>
          <w:bCs/>
          <w:color w:val="1E3A5F"/>
          <w:sz w:val="26"/>
          <w:szCs w:val="26"/>
        </w:rPr>
        <w:t xml:space="preserve">9.9  Síntesis: contribuciones principales</w:t>
      </w:r>
    </w:p>
    <w:p>
      <w:pPr>
        <w:spacing w:after="160" w:before="0" w:line="360"/>
        <w:jc w:val="both"/>
      </w:pPr>
      <w:r>
        <w:rPr>
          <w:rFonts w:ascii="Aptos" w:cs="Aptos" w:eastAsia="Aptos" w:hAnsi="Aptos"/>
          <w:b w:val="false"/>
          <w:bCs w:val="false"/>
          <w:sz w:val="24"/>
          <w:szCs w:val="24"/>
        </w:rPr>
        <w:t xml:space="preserve">La contribución central del Proyecto PAC es la demostración de que la fisiología nocturna del SAOS, capturada mediante un único sensor portátil domiciliario, puede representarse como un sistema dinámico estructurado en tres niveles: el evento individual (morfotipo + ARI), la noche (secuencia de estados multiescala + coupling index) y el paciente (fenotipo longitudinal estable). Las representaciones PAC operan como nivel intermedio entre el índice escalar —que comprime demasiado, perdiendo estructura temporal y morfológica— y la señal cruda —demasiado densa para ser interpretable clínicamente—. Frente a la literatura, las cuatro contribuciones se sitúan con precisión. Primera: el fenotipado morfológico de 84.248 eventos mediante K-means sobre curvas PCA-reducidas no tiene precedente a esa escala en oximetría portátil, y propone un marco operacional transferible a otras cohortes (Terrill, 2020; Biedebach et al., 2025). Segunda: el ARI como dimensión ortogonal a la severidad hipóxica (ρ = 0,034) operacionaliza desde oximetría y acelerometría una propiedad fisiológica —la reactividad autonómica— que los índices convencionales no capturan, y lo hace con estabilidad suficiente desde la primera noche de registro. Tercera: los PAC States triescala y el acoplamiento morfotipo–estado (V de Cramér hasta 0,355; inercia de resiliencia del 1,3 % a 30 min) demuestran que la fisiología nocturna tiene estructura dinámica no aleatoria y que esa estructura es predictivamente útil. Cuarta: la predicción prospectiva (AUC = 0,821, H = 5 min, LOPO-CV estricto) establece la condición algorítmica mínima para una intervención terapéutica adaptativa. Si se replica en una cohorte externa y se valida en ensayo controlado, esta última contribución podría tener impacto directo en el diseño de dispositivos de terapia adaptativa del SAOS.</w:t>
      </w:r>
    </w:p>
    <w:p>
      <w:pPr>
        <w:spacing w:after="160" w:before="0" w:line="360"/>
        <w:jc w:val="both"/>
      </w:pPr>
      <w:r>
        <w:rPr>
          <w:rFonts w:ascii="Aptos" w:cs="Aptos" w:eastAsia="Aptos" w:hAnsi="Aptos"/>
          <w:b w:val="false"/>
          <w:bCs w:val="false"/>
          <w:sz w:val="24"/>
          <w:szCs w:val="24"/>
        </w:rPr>
        <w:t xml:space="preserve">El contraste con la literatura ubica al Proyecto PAC en un espacio que los enfoques existentes no ocupan de forma integrada: donde Azarbarzin et al. avanzan hacia la carga hipóxica y Behar et al. hacia la predicción de desaturaciones, PAC añade morfología evento a evento, reactividad autonómica y dinámica multiescala en un único pipeline con validación que controla la dependencia longitudinal. Las fronteras que ese contraste deja visibles —la cohorte externa y el ensayo controlado— son trabajo futuro, pero son fronteras conocidas y diseñables; identificarlas con precisión es, en sí mismo, un resultado que esta Discusión puede entregar.</w:t>
      </w:r>
    </w:p>
    <w:p>
      <w:pPr>
        <w:spacing w:after="160" w:before="0" w:line="360"/>
        <w:jc w:val="both"/>
      </w:pPr>
      <w:r>
        <w:rPr>
          <w:rFonts w:ascii="Aptos" w:cs="Aptos" w:eastAsia="Aptos" w:hAnsi="Aptos"/>
          <w:b w:val="false"/>
          <w:bCs w:val="false"/>
          <w:sz w:val="24"/>
          <w:szCs w:val="24"/>
        </w:rPr>
        <w:t xml:space="preserve">Continúa en Capítulo 10 — Conclusiones</w:t>
      </w:r>
    </w:p>
    <w:sectPr>
      <w:headerReference w:type="default" r:id="rId7"/>
      <w:footerReference w:type="default" r:id="rId8"/>
      <w:pgSz w:w="11906" w:h="16838" w:orient="portrait"/>
      <w:pgMar w:top="1701" w:right="1418" w:bottom="1701"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before="120"/>
      <w:jc w:val="right"/>
    </w:pPr>
    <w:r>
      <w:rPr>
        <w:rFonts w:ascii="Aptos" w:cs="Aptos" w:eastAsia="Aptos" w:hAnsi="Aptos"/>
        <w:color w:val="6B7280"/>
        <w:sz w:val="16"/>
        <w:szCs w:val="16"/>
      </w:rPr>
      <w:t xml:space="preserve">Roberto Inza · Universidad Austral · 2026   </w:t>
    </w:r>
    <w:r>
      <w:rPr>
        <w:rFonts w:ascii="Aptos" w:cs="Aptos" w:eastAsia="Aptos" w:hAnsi="Aptos"/>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tabs>
        <w:tab w:val="right" w:pos="9026"/>
      </w:tabs>
    </w:pPr>
    <w:r>
      <w:rPr>
        <w:rFonts w:ascii="Aptos" w:cs="Aptos" w:eastAsia="Aptos" w:hAnsi="Aptos"/>
        <w:color w:val="6B7280"/>
        <w:sz w:val="16"/>
        <w:szCs w:val="16"/>
      </w:rPr>
      <w:t xml:space="preserve">Proyecto PAC · Tesis de Maestría</w:t>
    </w:r>
    <w:r>
      <w:rPr>
        <w:sz w:val="16"/>
        <w:szCs w:val="16"/>
      </w:rPr>
      <w:t xml:space="preserve">	</w:t>
    </w:r>
    <w:r>
      <w:rPr>
        <w:rFonts w:ascii="Aptos" w:cs="Aptos" w:eastAsia="Aptos" w:hAnsi="Aptos"/>
        <w:color w:val="6B7280"/>
        <w:sz w:val="16"/>
        <w:szCs w:val="16"/>
      </w:rPr>
      <w:t xml:space="preserve">Capítulo 9 — Discusión  (v14)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2026-06-07T01:35:25.601Z</dcterms:created>
  <dcterms:modified xsi:type="dcterms:W3CDTF">2026-06-07T01:35:25.602Z</dcterms:modified>
</cp:coreProperties>
</file>

<file path=docProps/custom.xml><?xml version="1.0" encoding="utf-8"?>
<Properties xmlns="http://schemas.openxmlformats.org/officeDocument/2006/custom-properties" xmlns:vt="http://schemas.openxmlformats.org/officeDocument/2006/docPropsVTypes"/>
</file>