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r>
        <w:rPr>
          <w:rFonts w:ascii="Aptos" w:cs="Aptos" w:eastAsia="Aptos" w:hAnsi="Aptos"/>
          <w:color w:val="666666"/>
          <w:sz w:val="18"/>
          <w:szCs w:val="18"/>
        </w:rPr>
        <w:t xml:space="preserve">Versión 14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una de las contribuciones metodológicas más originales del Proyecto PAC. La ortogonalidad con el ODI3 (ρ = 0,034 vs. frecuencia nocturna; n = 85.277 EDOs) implica que la respuesta autonómica cardíaca y motora de un evento es estadísticamente independiente de su frecuencia nocturna; esta independencia es consistente con la reportada respecto a la profundidad del evento individual (ρ = 0,035 vs. drop_pct; Cap04 §4.3.1), confirmando que el ARI captura una dimensión autonómica desacoplada tanto del índice agregado nocturno como de la magnitud de la desaturación individual. La coherencia fisiopatológica directa 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2016b;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Un matiz revelador surge del ARI por fenotipo de trayectoria nocturna (Tabla 6.5): los dos perfiles que concentran casi todas las noches —Estable-Protector y Carga Intermedia— presentan un ARI prácticamente idéntico (0,524 y 0,492; diferencia ≈ 0,03), lo que sugiere que la reactividad es un rasgo estable del sistema cardiovascular del paciente y no una simple función de la severidad nocturna; el infrecuente fenotipo de Carga Hipóxica Alta, en cambio, exhibe un ARI marcadamente más bajo (0,284), coherente con el gradiente autonómico inverso observado a nivel de evento en el morfotipo C5.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560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el ARI como dimensión ortogonal a la severidad hipóxica (ρ vs. ODI3 = 0,034; ρ vs. drop_pct = 0,035)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2026-06-07T01:35:25.601Z</dcterms:created>
  <dcterms:modified xsi:type="dcterms:W3CDTF">2026-06-07T01:35:25.602Z</dcterms:modified>
</cp:coreProperties>
</file>

<file path=docProps/custom.xml><?xml version="1.0" encoding="utf-8"?>
<Properties xmlns="http://schemas.openxmlformats.org/officeDocument/2006/custom-properties" xmlns:vt="http://schemas.openxmlformats.org/officeDocument/2006/docPropsVTypes"/>
</file>