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9</w:t>
      </w:r>
    </w:p>
    <w:p>
      <w:pPr>
        <w:spacing w:after="120" w:before="0"/>
      </w:pPr>
      <w:r>
        <w:rPr>
          <w:rFonts w:ascii="Arial" w:cs="Arial" w:eastAsia="Arial" w:hAnsi="Arial"/>
          <w:b/>
          <w:bCs/>
          <w:color w:val="1E3A5F"/>
          <w:sz w:val="36"/>
          <w:szCs w:val="36"/>
        </w:rPr>
        <w:t xml:space="preserve">Discusión</w:t>
      </w:r>
    </w:p>
    <w:p>
      <w:pPr>
        <w:spacing w:after="240" w:before="0"/>
      </w:pPr>
      <w:r>
        <w:rPr>
          <w:rFonts w:ascii="Arial" w:cs="Arial" w:eastAsia="Arial" w:hAnsi="Arial"/>
          <w:color w:val="6B7280"/>
          <w:sz w:val="18"/>
          <w:szCs w:val="18"/>
        </w:rPr>
        <w:t xml:space="preserve">Versión 15  ·  Mayo 2026</w:t>
      </w:r>
    </w:p>
    <w:p>
      <w:pPr>
        <w:spacing w:after="80" w:before="80" w:line="276"/>
      </w:pPr>
      <w:r>
        <w:rPr>
          <w:rFonts w:ascii="Arial" w:cs="Arial" w:eastAsia="Arial" w:hAnsi="Arial"/>
          <w:sz w:val="22"/>
          <w:szCs w:val="22"/>
        </w:rPr>
        <w:t xml:space="preserve">Analizar la fisiología nocturna del SAOS desde un único sensor portátil plantea dos problemas simultáneos: de representación, porque es necesario extraer información compacta e interpretable de millones de muestras de SpO₂, FC y movimiento sin perder la estructura que distingue pacientes y noches; y de escala, porque esas representaciones deben ser válidas sobre una cohorte con alta variabilidad intraindividual y sin polisomnografía de referencia. El Proyecto PAC construye una respuesta en cinco niveles: fenotipado morfológico de cada EDO, representación dinámica de la noche como sistema de estados multiescala, acoplamiento entre ambos, modelado predictivo y predicción prospectiva con horizonte terapéutico. Frente a la literatura, esos cinco niveles no se ubican todos en el mismo plano: para algunos existe trabajo previo con el que compararse; para otros no hay referencia directa publicada y el Proyecto PAC es la primera fuente que los aborda a esta escala y con esta metodología.</w:t>
      </w:r>
    </w:p>
    <w:p>
      <w:pPr>
        <w:pStyle w:val="Heading2"/>
        <w:spacing w:after="120" w:before="240"/>
      </w:pPr>
      <w:r>
        <w:rPr>
          <w:rFonts w:ascii="Arial" w:cs="Arial" w:eastAsia="Arial" w:hAnsi="Arial"/>
          <w:b/>
          <w:bCs/>
          <w:color w:val="1E3A5F"/>
          <w:sz w:val="28"/>
          <w:szCs w:val="28"/>
        </w:rPr>
        <w:t xml:space="preserve">9.1  Índices de evento e índices agregados nocturnos: el problema de la reducción escalar</w:t>
      </w:r>
    </w:p>
    <w:p>
      <w:pPr>
        <w:spacing w:after="80" w:before="80" w:line="276"/>
      </w:pPr>
      <w:r>
        <w:t xml:space="preserve">El SAOS se manifiesta como una sucesión de eventos respiratorios individuales, cada uno con propiedades elementales —profundidad de la caída de SpO₂, duración, perfil temporal de recuperación, respuesta cardíaca y motora— que representan la unidad natural de análisis fisiopatológico. La práctica clínica estándar comprime esa información en un único número por noche (AHI, ODI3), lo que es pragmáticamente necesario pero conlleva una pérdida de estructura con consecuencias diagnósticas concretas (Azarbarzin et al., 2019; Sands et al., 2021). El AHI es el índice de referencia del SAOS (Berry et al., 2012); el ODI3 es su subrogante oxiométrico en dispositivos domiciliarios, con concordancia r &gt; 0,85 frente a PSG en el rango moderado-severo donde se concentra esta cohorte (Masa et al., 2011). El pipeline adopta un umbral interno de ≥ 2 pp para la detección de EDOs —reservando el ODI3 para estratificación de severidad— porque el umbral clínico es una convención diagnóstica, no una frontera fisiológica: un evento de 2,5 pp tiene morfología y respuesta autonómica igualmente informativas que uno de 3,2 pp.</w:t>
      </w:r>
    </w:p>
    <w:p>
      <w:pPr>
        <w:spacing w:after="80" w:before="80" w:line="276"/>
      </w:pPr>
      <w:r>
        <w:t xml:space="preserve">El T90 y la carga hipóxica (hypoxic burden) representan los intentos más exitosos de capturar la dimensión temporal e integrada de la hipoxemia que AHI y ODI3 omiten: Azarbarzin et al. (2019) demostraron que la carga hipóxica predice mortalidad cardiovascular independientemente del AHI en cohortes de más de 7.000 pacientes. Sin embargo, siguen siendo índices agregados nocturnos: integran la carga hipóxica de la noche completa pero no capturan la morfología de los eventos individuales que la generan, su distribución temporal ni la respuesta autonómica que producen. El pipeline PAC_v3 no compite con ninguno de estos índices: los calcula, los usa como referencia y los valida. Lo que añade es la dimensión estructural que suprimen: morfología de la curva SpO₂ a nivel de evento y organización dinámica temporal de la noche a nivel multiescala.</w:t>
      </w:r>
    </w:p>
    <w:p>
      <w:pPr>
        <w:pStyle w:val="Heading2"/>
        <w:spacing w:after="120" w:before="240"/>
      </w:pPr>
      <w:r>
        <w:rPr>
          <w:rFonts w:ascii="Arial" w:cs="Arial" w:eastAsia="Arial" w:hAnsi="Arial"/>
          <w:b/>
          <w:bCs/>
          <w:color w:val="1E3A5F"/>
          <w:sz w:val="28"/>
          <w:szCs w:val="28"/>
        </w:rPr>
        <w:t xml:space="preserve">9.2  Fenotipado morfológico de EDOs: morfotipos C1–C5 y el ARI en perspectiva</w:t>
      </w:r>
    </w:p>
    <w:p>
      <w:pPr>
        <w:pStyle w:val="Heading3"/>
        <w:spacing w:after="80" w:before="180"/>
      </w:pPr>
      <w:r>
        <w:rPr>
          <w:rFonts w:ascii="Arial" w:cs="Arial" w:eastAsia="Arial" w:hAnsi="Arial"/>
          <w:b/>
          <w:bCs/>
          <w:color w:val="1E3A5F"/>
          <w:sz w:val="24"/>
          <w:szCs w:val="24"/>
        </w:rPr>
        <w:t xml:space="preserve">9.2.1  Los morfotipos de curvas SpO₂ frente a la literatura</w:t>
      </w:r>
    </w:p>
    <w:p>
      <w:pPr>
        <w:spacing w:after="80" w:before="80" w:line="276"/>
      </w:pPr>
      <w:r>
        <w:rPr>
          <w:rFonts w:ascii="Arial" w:cs="Arial" w:eastAsia="Arial" w:hAnsi="Arial"/>
          <w:sz w:val="22"/>
          <w:szCs w:val="22"/>
        </w:rPr>
        <w:t xml:space="preserve">El fenotipado morfológico de eventos individuales de desaturación mediante métodos no supervisados sobre la curva completa de SpO₂ no tiene precedente directo en la literatura a la escala del Proyecto PAC. Los trabajos más cercanos operan sobre índices agregados por noche o características univariadas de los eventos —duración, profundidad— sin abordar la forma completa de la curva normalizada como objeto de clustering (Terrill, 2020). El enfoque es metodológicamente análogo al fenotipado morfológico no supervisado de señales de ECG (Clifton et al., 2015), trasladado a un corpus de 84.248 eventos de oximetría domiciliaria cuya escala no registra equivalente publicado en la literatura revisada (Biedebach et al., 2025). La estructura del espacio morfológico resultante es fisiológicamente coherente: el primer componente principal captura la profundidad de la caída de SpO₂ y organiza los morfotipos en un gradiente de severidad creciente; los morfotipos C4+C5, con el 6,1 % de los eventos, concentran una fracción desproporcionadamente alta de carga hipóxica acumulada. La estabilidad inter-noche de los morfotipos (ICC moderado) es coherente con la observación de Eckert et al. (2013) de que los mecanismos fisiopatológicos dominantes en el SAOS son relativamente consistentes entre noches. La distribución del intervalo inter-evento (IEI mediana = 82 s, 62,8 % de pares separados por menos de 2 min) retroalimenta y justifica una decisión de diseño: la elección de un baseline móvil de 120 s para la detección de EDOs es el equilibrio entre absorber el efecto residual de la desaturación anterior y adaptarse con inercia excesiva en pacientes con hipoxemia basal persistente.</w:t>
      </w:r>
    </w:p>
    <w:p>
      <w:pPr>
        <w:pStyle w:val="Heading3"/>
        <w:spacing w:after="80" w:before="180"/>
      </w:pPr>
      <w:r>
        <w:rPr>
          <w:rFonts w:ascii="Arial" w:cs="Arial" w:eastAsia="Arial" w:hAnsi="Arial"/>
          <w:b/>
          <w:bCs/>
          <w:color w:val="1E3A5F"/>
          <w:sz w:val="24"/>
          <w:szCs w:val="24"/>
        </w:rPr>
        <w:t xml:space="preserve">9.2.2  El ARI: una dimensión ortogonal a la severidad hipóxica</w:t>
      </w:r>
    </w:p>
    <w:p>
      <w:pPr>
        <w:spacing w:after="80" w:before="80" w:line="276"/>
      </w:pPr>
      <w:r>
        <w:rPr>
          <w:rFonts w:ascii="Arial" w:cs="Arial" w:eastAsia="Arial" w:hAnsi="Arial"/>
          <w:sz w:val="22"/>
          <w:szCs w:val="22"/>
        </w:rPr>
        <w:t xml:space="preserve">El ARI es la contribución metodológica más original del Proyecto PAC. El hallazgo de ortogonalidad entre el ARI y el ODI3 (ρ = 0,034; n = 85.277 EDOs) implica que la respuesta autonómica cardíaca y motora de un evento es estadísticamente independiente de su frecuencia nocturna: un paciente con ODI3 elevado puede presentar ARI bajo, y viceversa. Este resultado tiene coherencia fisiopatológica directa: el arousal cortical que acompaña a los eventos respiratorios está parcialmente disociado de la severidad de la desaturación (Wellman et al., 2011; Stradling &amp; Davies, 2004), y el ARI operacionaliza esa relación desde oximetría y acelerometría sin requerir EEG ni PSG.</w:t>
      </w:r>
    </w:p>
    <w:p>
      <w:pPr>
        <w:spacing w:after="80" w:before="80" w:line="276"/>
      </w:pPr>
      <w:r>
        <w:rPr>
          <w:rFonts w:ascii="Arial" w:cs="Arial" w:eastAsia="Arial" w:hAnsi="Arial"/>
          <w:sz w:val="22"/>
          <w:szCs w:val="22"/>
        </w:rPr>
        <w:t xml:space="preserve">El hallazgo del gradiente autonómico inverso —el morfotipo C5 presenta el ARI más bajo del corpus (0,423 ± 0,104), no el más alto— es contraintuitivo pero fisiopatológicamente coherente: los pacientes con SAOS severo han desarrollado adaptación autonómica a la hipoxia recurrente, con respuesta proporcionalmente menor ante estímulos hipóxicos de mayor magnitud, lo que la literatura sobre adaptación del quimiorreceptor carotídeo respalda (Prabhakar, 2016; Narkiewicz &amp; Somers, 2003). La causalidad entre exposición crónica y adaptación autonómica no puede establecerse a partir de datos observacionales transversales. El ICC(1,1) del ARI (0,69 cohorte completa / 0,74 estricta) confirma que es un rasgo moderadamente estable del individuo: el ARI nocturno alcanza su umbral operacional desde la primera noche de registro, mientras el ODI3 requiere aproximadamente 7 noches promediadas para estabilizarse —una asimetría clínicamente relevante que refuerza el valor del ARI como complemento diagnóstico en protocolos de tamizaje rápido.</w:t>
      </w:r>
    </w:p>
    <w:p>
      <w:pPr>
        <w:pStyle w:val="Heading2"/>
        <w:spacing w:after="120" w:before="240"/>
      </w:pPr>
      <w:r>
        <w:rPr>
          <w:rFonts w:ascii="Arial" w:cs="Arial" w:eastAsia="Arial" w:hAnsi="Arial"/>
          <w:b/>
          <w:bCs/>
          <w:color w:val="1E3A5F"/>
          <w:sz w:val="28"/>
          <w:szCs w:val="28"/>
        </w:rPr>
        <w:t xml:space="preserve">9.3  PAC States: la fisiología nocturna como sistema dinámico multiescala</w:t>
      </w:r>
    </w:p>
    <w:p>
      <w:pPr>
        <w:pStyle w:val="Heading3"/>
        <w:spacing w:after="80" w:before="180"/>
      </w:pPr>
      <w:r>
        <w:rPr>
          <w:rFonts w:ascii="Arial" w:cs="Arial" w:eastAsia="Arial" w:hAnsi="Arial"/>
          <w:b/>
          <w:bCs/>
          <w:color w:val="1E3A5F"/>
          <w:sz w:val="24"/>
          <w:szCs w:val="24"/>
        </w:rPr>
        <w:t xml:space="preserve">9.3.1  Representación del sueño como secuencia de estados</w:t>
      </w:r>
    </w:p>
    <w:p>
      <w:pPr>
        <w:spacing w:after="80" w:before="80" w:line="276"/>
      </w:pPr>
      <w:r>
        <w:rPr>
          <w:rFonts w:ascii="Arial" w:cs="Arial" w:eastAsia="Arial" w:hAnsi="Arial"/>
          <w:sz w:val="22"/>
          <w:szCs w:val="22"/>
        </w:rPr>
        <w:t xml:space="preserve">La representación del sueño como secuencia de estados fisiológicos discretos tiene antecedentes en HMM sobre señales de EEG y señales cardíacas (Penzel et al., 2016; Goldberger et al., 2002). La innovación del sistema PAC States radica en tres aspectos: (a) construcción sobre señales de oximetría portátil sin EEG ni PSG; (b) arquitectura triescala simultánea (30 s, 5 min, 30 min) que captura la dinámica en diferentes horizontes temporales; y (c) una propiedad que la validación reveló de forma emergente: la especialización funcional de los estados —cada escala predice mejor una dimensión distinta de la severidad— no fue impuesta por diseño sino que surgió del clustering sobre los datos. Esta diferencia de base constituye el argumento de posicionamiento central del sistema: los estados PAC no se mapean a los estadios AASM —definidos sobre actividad cortical— porque fueron construidos sobre un espacio de señales diferente (SpO₂, FC y movimiento) con un objetivo diferente. La taxonomía resultante no replica ni reemplaza la estadificación convencional del sueño: captura la regulación autonómica y respiratoria nocturna, una dimensión que la taxonomía cortical no resuelve y que el monitoreo domiciliario portátil sí puede proveer.</w:t>
      </w:r>
    </w:p>
    <w:p>
      <w:pPr>
        <w:pStyle w:val="Heading3"/>
        <w:spacing w:after="80" w:before="180"/>
      </w:pPr>
      <w:r>
        <w:rPr>
          <w:rFonts w:ascii="Arial" w:cs="Arial" w:eastAsia="Arial" w:hAnsi="Arial"/>
          <w:b/>
          <w:bCs/>
          <w:color w:val="1E3A5F"/>
          <w:sz w:val="24"/>
          <w:szCs w:val="24"/>
        </w:rPr>
        <w:t xml:space="preserve">9.3.2  Especialización funcional: el hallazgo central del análisis de PAC States</w:t>
      </w:r>
    </w:p>
    <w:p>
      <w:pPr>
        <w:spacing w:after="80" w:before="80" w:line="276"/>
      </w:pPr>
      <w:r>
        <w:rPr>
          <w:rFonts w:ascii="Arial" w:cs="Arial" w:eastAsia="Arial" w:hAnsi="Arial"/>
          <w:sz w:val="22"/>
          <w:szCs w:val="22"/>
        </w:rPr>
        <w:t xml:space="preserve">El hallazgo de especialización funcional —cada escala predice una dimensión diferente de la severidad nocturna— es el resultado de mayor originalidad del análisis de estados. La escala S (30 s) predice mejor la frecuencia de eventos (ODI3, ρ S4 = +0,691) porque su resolución captura la microdinámica ciclo a ciclo. La escala M (5 min) predice mejor la carga hipóxica integrada (T90, ρ M1 = +0,744) porque su ventana integra rachas de eventos manteniendo sensibilidad a cambios posturales. La escala L (30 min) captura la arquitectura global de la noche. Esta disociación implica que la evaluación de la severidad del SAOS no puede reducirse a un único índice global: la estructura temporal importa, y de manera diferente según la dimensión de severidad que se busque cuantificar. La entropía de distribución de estados PAC operacionaliza la pérdida de flexibilidad regulatoria en SAOS severo (Narkiewicz &amp; Somers, 2003): las noches de alta carga hipóxica exhiben menor entropía, concentrando el tiempo en un subconjunto reducido de estados de riesgo en lugar de distribuirlo con flexibilidad adaptativa.</w:t>
      </w:r>
    </w:p>
    <w:p>
      <w:pPr>
        <w:spacing w:after="80" w:before="80" w:line="276"/>
      </w:pPr>
      <w:r>
        <w:rPr>
          <w:rFonts w:ascii="Arial" w:cs="Arial" w:eastAsia="Arial" w:hAnsi="Arial"/>
          <w:sz w:val="22"/>
          <w:szCs w:val="22"/>
        </w:rPr>
        <w:t xml:space="preserve">El resultado más revelador del agrupamiento nocturno es la ausencia de diferenciación en una dimensión específica: la reactividad autonómica (ARI). Los tres perfiles nocturnos de severidad creciente se distinguen con claridad en las fracciones de estados M y L y en los índices hipóxicos, pero convergen a valores de ARI prácticamente idénticos (diferencia máxima &lt; 0,03). La reactividad no es función de la severidad nocturna: es una propiedad estable del sistema cardiovascular del paciente que se expresa de manera transversal a todo el perfil. PAC States captura la severidad; el ARI captura la reactividad; y la ausencia de correlación entre ambos a nivel de noche completa es coherente con la ortogonalidad ρ = 0,034 observada a nivel de evento individual.</w:t>
      </w:r>
    </w:p>
    <w:p>
      <w:pPr>
        <w:pStyle w:val="Heading3"/>
        <w:spacing w:after="80" w:before="180"/>
      </w:pPr>
      <w:r>
        <w:rPr>
          <w:rFonts w:ascii="Arial" w:cs="Arial" w:eastAsia="Arial" w:hAnsi="Arial"/>
          <w:b/>
          <w:bCs/>
          <w:color w:val="1E3A5F"/>
          <w:sz w:val="24"/>
          <w:szCs w:val="24"/>
        </w:rPr>
        <w:t xml:space="preserve">9.3.3  Variabilidad intraindividual como información</w:t>
      </w:r>
    </w:p>
    <w:p>
      <w:pPr>
        <w:spacing w:after="80" w:before="80" w:line="276"/>
      </w:pPr>
      <w:r>
        <w:rPr>
          <w:rFonts w:ascii="Arial" w:cs="Arial" w:eastAsia="Arial" w:hAnsi="Arial"/>
          <w:sz w:val="22"/>
          <w:szCs w:val="22"/>
        </w:rPr>
        <w:t xml:space="preserve">La literatura clásica del sueño trata la variabilidad noche a noche como ruido estadístico (Masa et al., 2011). El Proyecto PAC propone la perspectiva opuesta: la variabilidad intraindividual —las diferencias entre las noches de un mismo paciente— es información diagnóstica que refleja la modulación del fenotipo fisiológico por factores situacionales (postura, alcohol, fatiga). La misma persona puede contribuir noches a los tres perfiles de trayectoria nocturna según los factores situacionales de cada noche; esa variabilidad no es impredecible: el estado PAC activo en las primeras horas de la noche tiene valor predictivo sobre el perfil que seguirá el resto, lo que conecta directamente con el análisis de acoplamiento de §9.4.</w:t>
      </w:r>
    </w:p>
    <w:p>
      <w:pPr>
        <w:pStyle w:val="Heading2"/>
        <w:spacing w:after="120" w:before="240"/>
      </w:pPr>
      <w:r>
        <w:rPr>
          <w:rFonts w:ascii="Arial" w:cs="Arial" w:eastAsia="Arial" w:hAnsi="Arial"/>
          <w:b/>
          <w:bCs/>
          <w:color w:val="1E3A5F"/>
          <w:sz w:val="28"/>
          <w:szCs w:val="28"/>
        </w:rPr>
        <w:t xml:space="preserve">9.4  Acoplamiento morfotipo–estado: la estructura no aleatoria del riesgo nocturno</w:t>
      </w:r>
    </w:p>
    <w:p>
      <w:pPr>
        <w:spacing w:after="80" w:before="80" w:line="276"/>
      </w:pPr>
      <w:r>
        <w:rPr>
          <w:rFonts w:ascii="Arial" w:cs="Arial" w:eastAsia="Arial" w:hAnsi="Arial"/>
          <w:sz w:val="22"/>
          <w:szCs w:val="22"/>
        </w:rPr>
        <w:t xml:space="preserve">El acoplamiento morfotipo–estado es real en las tres escalas (V de Cramér = 0,355 en escala S, 0,229 en M, 0,194 en L; NB05, 83.892 eventos) con magnitudes de riesgo relativo clínicamente interpretables: el estado S6 multiplica por 4,9 la probabilidad de observar un morfotipo severo respecto de la marginal del corpus. Esto habilita una afirmación de mayor alcance: el contexto dinámico de la noche transporta información sobre la severidad probable del siguiente evento incluso antes de que ese evento comience —antes de observar su curva—. La cuantificación de este acoplamiento sobre más de 83.000 eventos sin instrumentación adicional ni anotación manual no tiene precedente directo en la literatura de monitoreo domiciliario del SAOS.</w:t>
      </w:r>
    </w:p>
    <w:p>
      <w:pPr>
        <w:spacing w:after="80" w:before="80" w:line="276"/>
      </w:pPr>
      <w:r>
        <w:rPr>
          <w:rFonts w:ascii="Arial" w:cs="Arial" w:eastAsia="Arial" w:hAnsi="Arial"/>
          <w:sz w:val="22"/>
          <w:szCs w:val="22"/>
        </w:rPr>
        <w:t xml:space="preserve">La dimensión temporal del acoplamiento conecta directamente con la predicción prospectiva. El análisis de resiliencia post-evento revela un gradiente dramático: la recuperación a un estado protector tras un evento severo es posible en la escala de 30 s (43,3 %), rara a los 5 min (12,3 %) y prácticamente inexistente a los 30 min (1,3 %). Esta inercia creciente tiene una lectura clínica concreta: lo que ocurre a nivel de microdinámica puede revertirse; una noche en estado L0 (hipoxemia sostenida) convierte el sistema en una dinámica colapsada que no se recupera espontáneamente. Y es precisamente esta inercia la que hace posible la predicción prospectiva: si los estados patológicos son persistentes, la señal de alerta llega antes de que el evento ocurra.</w:t>
      </w:r>
    </w:p>
    <w:p>
      <w:pPr>
        <w:pStyle w:val="Heading2"/>
        <w:spacing w:after="120" w:before="240"/>
      </w:pPr>
      <w:r>
        <w:rPr>
          <w:rFonts w:ascii="Arial" w:cs="Arial" w:eastAsia="Arial" w:hAnsi="Arial"/>
          <w:b/>
          <w:bCs/>
          <w:color w:val="1E3A5F"/>
          <w:sz w:val="28"/>
          <w:szCs w:val="28"/>
        </w:rPr>
        <w:t xml:space="preserve">9.5  De la caracterización al pronóstico: los modelos de predicción frente a la literatura</w:t>
      </w:r>
    </w:p>
    <w:p>
      <w:pPr>
        <w:spacing w:after="80" w:before="80" w:line="276"/>
      </w:pPr>
      <w:r>
        <w:rPr>
          <w:rFonts w:ascii="Arial" w:cs="Arial" w:eastAsia="Arial" w:hAnsi="Arial"/>
          <w:sz w:val="22"/>
          <w:szCs w:val="22"/>
        </w:rPr>
        <w:t xml:space="preserve">El Proyecto PAC produce dos tipos de resultado predictivo que la literatura raramente evalúa en el mismo framework: la clasificación condicionada (dado que un evento está ocurriendo, ¿cuál es su morfotipo y cuál es el riesgo nocturno acumulado?) y la predicción prospectiva genuina (dado el estado fisiológico ahora, ¿ocurrirá un evento severo en los próximos H minutos?). La diferencia de rendimiento entre ambos módulos —8 puntos de AUC, de 0,905 nocturno a 0,821 a H = 5 min— cuantifica el costo informativo de la prospectividad. En la literatura de predicción de eventos en señales portátiles, el resultado es competitivo: Clifton et al. (2015) reportan AUC entre 0,78 y 0,85 para predicción de deterioro clínico hospitalario; Behar et al. (2019) reportan AUC de 0,75–0,82 para predicción de desaturaciones con oxímetro portátil en ventanas de 5–10 min. La ventaja adicional del módulo NB08 es la validación LOPO-CV estricta: cada fold excluye todas las noches de un paciente, previniendo la inflación del AUC por dependencia longitudinal —un problema metodológico frecuente en la literatura de ML en señales biomédicas.</w:t>
      </w:r>
    </w:p>
    <w:p>
      <w:pPr>
        <w:spacing w:after="80" w:before="80" w:line="276"/>
      </w:pPr>
      <w:r>
        <w:rPr>
          <w:rFonts w:ascii="Arial" w:cs="Arial" w:eastAsia="Arial" w:hAnsi="Arial"/>
          <w:sz w:val="22"/>
          <w:szCs w:val="22"/>
        </w:rPr>
        <w:t xml:space="preserve">La jerarquía de features del módulo prospectivo revela dos hallazgos interpretativos. Primero, window_position (fracción de la noche transcurrida) domina la importancia en todos los horizontes: el modelo aprendería que el momento de la noche es el predictor más robusto del riesgo prospectivo, coherente con la concentración temporal de eventos severos documentada en la literatura. El hallazgo interpretativo no trivial es que, pese a esa dominancia, el perfil de riesgo predicho es plano a lo largo de los deciles de la noche, sin un pico temporal claro: window_position no captura una concentración sistemática del riesgo sino que opera como covariable de contexto que interactúa con el estado PAC activo y el historial acumulado para estimar el riesgo local. En otras palabras, el momento importa, pero no de la manera monotónica que la cronobiología del SAOS sugeriría a priori. Segundo, ci_sofar (historia dinámica acumulada del acoplamiento) es el predictor que más directamente materializa la hipótesis conceptual del proyecto: si el acoplamiento fuera un artefacto espurio del clustering, no debería predecir eventos futuros con la consistencia observada —su presencia en el top-3 es la validación prospectiva de la estructura de acoplamiento descrita en §9.4. El lead time de H = 5 min establece la condición algorítmica mínima para una intervención adaptativa: las representaciones PAC contienen información predictiva prospectiva generalizable entre pacientes, y el horizonte supera por un factor mayor a 3 el margen de activación requerido por el estimulador transcutáneo del SOMNI 6000. La tercera fase de validación —eficacia terapéutica en ensayo controlado— es trabajo futuro explícito. Este posicionamiento del módulo prospectivo en el contexto de la literatura predictiva lleva a la pregunta de fondo sobre la plataforma que lo sustenta: qué puede y no puede ofrecer la oximetría domiciliaria frente a la PSG como instrumento de fenotipado.</w:t>
      </w:r>
    </w:p>
    <w:p>
      <w:pPr>
        <w:pStyle w:val="Heading2"/>
        <w:spacing w:after="120" w:before="240"/>
      </w:pPr>
      <w:r>
        <w:rPr>
          <w:rFonts w:ascii="Arial" w:cs="Arial" w:eastAsia="Arial" w:hAnsi="Arial"/>
          <w:b/>
          <w:bCs/>
          <w:color w:val="1E3A5F"/>
          <w:sz w:val="28"/>
          <w:szCs w:val="28"/>
        </w:rPr>
        <w:t xml:space="preserve">9.6  Oximetría domiciliaria como plataforma de fenotipado: alcances y comparación con PSG</w:t>
      </w:r>
    </w:p>
    <w:p>
      <w:pPr>
        <w:spacing w:after="80" w:before="80" w:line="276"/>
      </w:pPr>
      <w:r>
        <w:rPr>
          <w:rFonts w:ascii="Arial" w:cs="Arial" w:eastAsia="Arial" w:hAnsi="Arial"/>
          <w:sz w:val="22"/>
          <w:szCs w:val="22"/>
        </w:rPr>
        <w:t xml:space="preserve">La PSG registra SpO₂ de forma continua y podría, en principio, producir las mismas curvas morfológicas de evento que el SOMNI 6000. Lo que PSG no fue diseñada para hacer —y que su protocolo de una sola noche en laboratorio no permite— es el análisis morfológico no supervisado sobre corpus de decenas de miles de eventos, ni la caracterización de la variabilidad dinámica intraindividual que requiere noches consecutivas en condiciones habituales. La ventaja analítica del pipeline PAC_v3 sobre PSG no reside en el tipo de sensor sino en el diseño longitudinal domiciliario: 553 noches de calidad de 12 pacientes generan un corpus cuya escala y representatividad de las condiciones reales no es reproducible en laboratorio.</w:t>
      </w:r>
    </w:p>
    <w:p>
      <w:pPr>
        <w:spacing w:after="80" w:before="80" w:line="276"/>
      </w:pPr>
      <w:r>
        <w:rPr>
          <w:rFonts w:ascii="Arial" w:cs="Arial" w:eastAsia="Arial" w:hAnsi="Arial"/>
          <w:sz w:val="22"/>
          <w:szCs w:val="22"/>
        </w:rPr>
        <w:t xml:space="preserve">La afirmación central en este plano es que la oximetría portátil de un único sensor, adecuadamente procesada, puede producir representaciones fenotípicas —morfotipos de la curva SpO₂, estados dinámicos multiescala, acoplamiento sobre 80.000+ eventos— que PSG no produce habitualmente porque no fue diseñada para ese tipo de análisis longitudinal. Esto no invalida a PSG como gold standard diagnóstico: es una afirmación sobre qué habilita el diseño domiciliario que PSG no realiza. La pregunta empírica abierta —cuánta información adicional aportaría el EEG sobre los morfotipos y estados ya identificados— queda como trabajo futuro explícito que requiere una cohorte con PSG simultánea.</w:t>
      </w:r>
    </w:p>
    <w:p>
      <w:pPr>
        <w:pStyle w:val="Heading2"/>
        <w:spacing w:after="120" w:before="240"/>
      </w:pPr>
      <w:r>
        <w:rPr>
          <w:rFonts w:ascii="Arial" w:cs="Arial" w:eastAsia="Arial" w:hAnsi="Arial"/>
          <w:b/>
          <w:bCs/>
          <w:color w:val="1E3A5F"/>
          <w:sz w:val="28"/>
          <w:szCs w:val="28"/>
        </w:rPr>
        <w:t xml:space="preserve">9.7  Hacia la terapéutica automática del SAOS severo: condición algorítmica y agenda clínica</w:t>
      </w:r>
    </w:p>
    <w:p>
      <w:pPr>
        <w:spacing w:after="80" w:before="80" w:line="276"/>
      </w:pPr>
      <w:r>
        <w:rPr>
          <w:rFonts w:ascii="Arial" w:cs="Arial" w:eastAsia="Arial" w:hAnsi="Arial"/>
          <w:sz w:val="22"/>
          <w:szCs w:val="22"/>
        </w:rPr>
        <w:t xml:space="preserve">El Proyecto PAC construyó, sobre señales de un único sensor domiciliario, una cadena de representaciones que va del evento individual al fenotipo longitudinal del paciente, y demostró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es el punto de partida de la agenda de trabajo. La principal barrera para la traslación clínica no es el AUC sino la heterogeneidad inter-paciente: la prevalencia de eventos severos varía 20× entre los pacientes de la cohorte (1,6 %–32,1 %). Un sistema calibrado globalmente sería subóptimo para todos los pacientes fuera del centro de la distribución. La implicancia es que la traslación requiere calibración individual como primera etapa —un período de caracterización domiciliaria sin activación del estimulador que el protocolo del SOMNI 6000 ya contempla—. La paradoja observada refuerza este punto: el paciente de menor prevalencia (1,6 %) presenta el AUC más alto (0,87), porque el sistema PAC anticipa bien los eventos cuando son fisiológicamente inusuales para ese individuo. La implicancia inversa es que los pacientes de mayor carga hipóxica crónica —donde los eventos severos son el estado habitual— podrían ser los más difíciles de anticipar algorítmicamente.</w:t>
      </w:r>
    </w:p>
    <w:p>
      <w:pPr>
        <w:spacing w:after="80" w:before="80" w:line="276"/>
      </w:pPr>
      <w:r>
        <w:rPr>
          <w:rFonts w:ascii="Arial" w:cs="Arial" w:eastAsia="Arial" w:hAnsi="Arial"/>
          <w:sz w:val="22"/>
          <w:szCs w:val="22"/>
        </w:rPr>
        <w:t xml:space="preserve">La circularidad potencial de las representaciones PAC —los modelos no supervisados fueron construidos sobre la misma cohorte que los supervisados— condiciona la replicabilidad: una cohorte externa con clusters aprendidos de forma independiente demostraría que los morfotipos C1–C5 y los estados S/M/L capturan propiedades fisiológicas genéricas del SAOS, no idiosincrasias de esta cohorte. El diseño de un ensayo clínico controlado requeriría: (a) 30–50 pacientes con SAOS moderado-severo con PSG basal; (b) fase de caracterización domiciliaria de 7–14 noches sin estimulación para estimar parámetros individuales del pipeline; (c) asignación aleatoria a estimulación activa vs. placebo; (d) evaluación de desenlaces primarios (ODI3, T90, carga hipóxica) y secundarios. Esa fase de caracterización no es solo rodaje del dispositivo: es la fuente de los parámetros individuales que el módulo NB08 necesita para operar de forma personalizada, una eficiencia de diseño que los ensayos de CPAP convencional no tienen porque CPAP no requiere calibración individual previa.</w:t>
      </w:r>
    </w:p>
    <w:p>
      <w:pPr>
        <w:pStyle w:val="Heading2"/>
        <w:spacing w:after="120" w:before="240"/>
      </w:pPr>
      <w:r>
        <w:rPr>
          <w:rFonts w:ascii="Arial" w:cs="Arial" w:eastAsia="Arial" w:hAnsi="Arial"/>
          <w:b/>
          <w:bCs/>
          <w:color w:val="1E3A5F"/>
          <w:sz w:val="28"/>
          <w:szCs w:val="28"/>
        </w:rPr>
        <w:t xml:space="preserve">9.8  Limitaciones integradas del arco analítico</w:t>
      </w:r>
    </w:p>
    <w:p>
      <w:pPr>
        <w:spacing w:after="80" w:before="80" w:line="276"/>
      </w:pPr>
      <w:r>
        <w:rPr>
          <w:rFonts w:ascii="Arial" w:cs="Arial" w:eastAsia="Arial" w:hAnsi="Arial"/>
          <w:sz w:val="22"/>
          <w:szCs w:val="22"/>
        </w:rPr>
        <w:t xml:space="preserve">Las limitaciones del Proyecto PAC han sido discutidas en cada capítulo de resultados; lo que importa reconocer en este cierre es que no son independientes: interactúan y su efecto combinado define un perfil específico de generalizabilidad. (1) Tamaño muestral y sesgo de selección: n = 8 pacientes en la cohorte estricta, reclutados en una práctica médica privada especializada, sobrerepresentando el rango moderado-severo. Cualquier traslación a contextos de tamizaje poblacional requiere una cohorte sustancialmente diferente en composición clínica. (2) Ausencia de PSG simultánea: impide comparar morfotipos C1–C5 y estados PAC con los estadios del sueño convencionales, y limita la calibración del ODI3 como subrogante del AHI a la literatura publicada. (3) Circularidad PAC: los modelos no supervisados fueron construidos sobre la misma cohorte que los supervisados; la validación LOPO-CV mitiga pero no elimina la circularidad. Este es el límite metodológico más relevante del arco analítico. (4) Calibración de probabilidades: los modelos LightGBM sobreestiman en aproximadamente 4× para el módulo prospectivo; las métricas de discriminación (AUC, AP) son robustas, pero un sistema de activación clínica requeriría calibración explícita antes de cualquier uso operacional. (5) Efecto del estimulador no evaluado: toda la cadena de razonamiento sobre habilitación de la estimulación transcutánea se apoya en una hipótesis plausible fisiopatológicamente pero no evaluada en esta tesis. La distinción entre factibilidad algorítmica y eficacia terapéutica debe mantenerse explícita en cualquier comunicación de estos resultados.</w:t>
      </w:r>
    </w:p>
    <w:p>
      <w:pPr>
        <w:pStyle w:val="Heading2"/>
        <w:spacing w:after="120" w:before="240"/>
      </w:pPr>
      <w:r>
        <w:rPr>
          <w:rFonts w:ascii="Arial" w:cs="Arial" w:eastAsia="Arial" w:hAnsi="Arial"/>
          <w:b/>
          <w:bCs/>
          <w:color w:val="1E3A5F"/>
          <w:sz w:val="28"/>
          <w:szCs w:val="28"/>
        </w:rPr>
        <w:t xml:space="preserve">9.9  Síntesis: la cadena EDO → Estados → Acople → Fenotipia → Predicción como contribución unificada</w:t>
      </w:r>
    </w:p>
    <w:p>
      <w:pPr>
        <w:spacing w:after="80" w:before="80" w:line="276"/>
      </w:pPr>
      <w:r>
        <w:rPr>
          <w:rFonts w:ascii="Arial" w:cs="Arial" w:eastAsia="Arial" w:hAnsi="Arial"/>
          <w:sz w:val="22"/>
          <w:szCs w:val="22"/>
        </w:rPr>
        <w:t xml:space="preserve">La contribución central del Proyecto PAC es la demostración de que la fisiología nocturna del SAOS, capturada mediante un único sensor portátil domiciliario, puede representarse como un sistema dinámico estructurado con tres niveles de organización: el evento individual (morfotipo de curva + reactividad autonómica), la noche (secuencia de estados multiescala + coupling index) y el paciente (fenotipo longitudinal estable). Esos tres niveles no son independientes: el estado activo predice el morfotipo probable (acoplamiento), la historia de coupling acumulada predice eventos futuros (módulo prospectivo), y el fenotipo de trayectoria nocturna predice el riesgo de noche de alta carga hipóxica (modelado nocturno). Las representaciones PAC operan como representación intermedia entre el índice escalar (ODI3, T90) —que comprime demasiado, perdiendo estructura temporal y morfológica— y la señal cruda —demasiado densa para ser interpretable clínicamente—; y los cinco módulos del proyecto ofrecen evidencia convergente de que ese espacio contiene información diagnóstica y predictiva que los índices convencionales descartan.</w:t>
      </w:r>
    </w:p>
    <w:p>
      <w:pPr>
        <w:spacing w:after="80" w:before="80" w:line="276"/>
      </w:pPr>
      <w:r>
        <w:rPr>
          <w:rFonts w:ascii="Arial" w:cs="Arial" w:eastAsia="Arial" w:hAnsi="Arial"/>
          <w:sz w:val="22"/>
          <w:szCs w:val="22"/>
        </w:rPr>
        <w:t xml:space="preserve">Frente a la literatura, las tres contribuciones principales pueden situarse con precisión. La primera —el fenotipado morfológico de 85.277 eventos mediante K-means sobre curvas PCA-reducidas— no tiene precedente a esa escala en oximetría portátil y propone un marco operacional transferible. La segunda —la cuantificación de la especialización funcional de los estados PAC multiescala— amplía los resultados previos de análisis dinámico del sueño al mostrar que diferentes escalas temporales predicen dimensiones distintas de la severidad nocturna, con implicaciones para el diseño de sistemas de monitoreo adaptativo. La tercera —la predicción prospectiva con horizonte clínico (AUC = 0,821, H = 5 min)— establece la condición algorítmica mínima para una intervención terapéutica basada en el estado fisiológico. Si se replica en una cohorte externa y se valida en ensayo controlado, este resultado podría tener impacto directo en el diseño de dispositivos de terapia adaptativa del SAOS. La agenda de validación fue articulada en §9.7; sus líneas de continuidad se desarrollan en el Capítulo 10.</w:t>
      </w:r>
    </w:p>
    <w:p>
      <w:pPr>
        <w:spacing w:after="0" w:before="120"/>
      </w:pPr>
      <w:r>
        <w:t xml:space="preserve"/>
      </w:r>
    </w:p>
    <w:p>
      <w:pPr>
        <w:spacing w:after="80" w:before="80"/>
      </w:pPr>
      <w:r>
        <w:rPr>
          <w:rFonts w:ascii="Arial" w:cs="Arial" w:eastAsia="Arial" w:hAnsi="Arial"/>
          <w:i/>
          <w:iCs/>
          <w:color w:val="6B7280"/>
          <w:sz w:val="22"/>
          <w:szCs w:val="22"/>
        </w:rPr>
        <w:t xml:space="preserve">Continúa en Capítulo 10 — Conclusiones</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pBdr>
      <w:tabs>
        <w:tab w:val="right" w:pos="9026"/>
      </w:tabs>
    </w:pPr>
    <w:r>
      <w:rPr>
        <w:rFonts w:ascii="Arial" w:cs="Arial" w:eastAsia="Arial" w:hAnsi="Arial"/>
        <w:color w:val="6B7280"/>
        <w:sz w:val="18"/>
        <w:szCs w:val="18"/>
      </w:rPr>
      <w:t xml:space="preserve">Roberto Inza · Universidad Austral · 2026</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i/>
        <w:iCs/>
        <w:color w:val="6B7280"/>
        <w:sz w:val="18"/>
        <w:szCs w:val="18"/>
      </w:rPr>
      <w:t xml:space="preserve">	Capítulo 9 — Discusión (v15)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2026-05-30T17:46:35.563Z</dcterms:created>
  <dcterms:modified xsi:type="dcterms:W3CDTF">2026-05-30T17:46:35.563Z</dcterms:modified>
</cp:coreProperties>
</file>

<file path=docProps/custom.xml><?xml version="1.0" encoding="utf-8"?>
<Properties xmlns="http://schemas.openxmlformats.org/officeDocument/2006/custom-properties" xmlns:vt="http://schemas.openxmlformats.org/officeDocument/2006/docPropsVTypes"/>
</file>