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CAPÍTULO 9</w:t>
      </w:r>
    </w:p>
    <w:p>
      <w:pPr>
        <w:spacing w:after="80"/>
        <w:jc w:val="center"/>
      </w:pPr>
      <w:r>
        <w:rPr>
          <w:rFonts w:ascii="Times New Roman" w:cs="Times New Roman" w:eastAsia="Times New Roman" w:hAnsi="Times New Roman"/>
          <w:b/>
          <w:bCs/>
          <w:sz w:val="32"/>
          <w:szCs w:val="32"/>
        </w:rPr>
        <w:t xml:space="preserve">Discusión</w:t>
      </w:r>
    </w:p>
    <w:p>
      <w:pPr>
        <w:spacing w:after="400"/>
        <w:jc w:val="center"/>
      </w:pPr>
      <w:r>
        <w:rPr>
          <w:rFonts w:ascii="Times New Roman" w:cs="Times New Roman" w:eastAsia="Times New Roman" w:hAnsi="Times New Roman"/>
          <w:i/>
          <w:iCs/>
          <w:color w:val="666666"/>
          <w:sz w:val="24"/>
          <w:szCs w:val="24"/>
        </w:rPr>
        <w:t xml:space="preserve">Versión 5  ·  Junio 2026</w:t>
      </w:r>
    </w:p>
    <w:p>
      <w:pPr>
        <w:spacing w:after="200" w:before="0" w:line="360" w:lineRule="auto"/>
        <w:jc w:val="both"/>
      </w:pPr>
      <w:r>
        <w:rPr>
          <w:rFonts w:ascii="Times New Roman" w:cs="Times New Roman" w:eastAsia="Times New Roman" w:hAnsi="Times New Roman"/>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pPr>
        <w:pStyle w:val="Heading2"/>
        <w:spacing w:after="120" w:before="300"/>
      </w:pPr>
      <w:r>
        <w:rPr>
          <w:rFonts w:ascii="Times New Roman" w:cs="Times New Roman" w:eastAsia="Times New Roman" w:hAnsi="Times New Roman"/>
          <w:b/>
          <w:bCs/>
          <w:sz w:val="26"/>
          <w:szCs w:val="26"/>
        </w:rPr>
        <w:t xml:space="preserve">9.1  Índices de evento e índices agregados nocturnos</w:t>
      </w:r>
    </w:p>
    <w:p>
      <w:pPr>
        <w:spacing w:after="200" w:before="0" w:line="360" w:lineRule="auto"/>
        <w:jc w:val="both"/>
      </w:pPr>
      <w:r>
        <w:rPr>
          <w:rFonts w:ascii="Times New Roman" w:cs="Times New Roman" w:eastAsia="Times New Roman" w:hAnsi="Times New Roman"/>
          <w:sz w:val="24"/>
          <w:szCs w:val="24"/>
        </w:rPr>
        <w:t xml:space="preserve">El AHI es el índice de referencia del SAOS (Berry et al., 2012); el ODI3 es su subrogante oxiométrico con concordancia r &gt; 0,85 frente a PSG en el rango moderado-severo de esta cohorte (Masa et al., 2011). El pipeline adopta un umbral interno de ≥ 2 pp para la detección de EDOs —reservando el ODI3 para estratificación— porque el umbral clínico es una convención diagnóstica, no una frontera fisiológica: un evento de 2,5 pp tiene morfología y respuesta autonómica igualmente informativas que uno de 3,2 pp. El T90 y la carga hipóxica representan los intentos más exitosos de capturar la dimensión temporal de la hipoxemia que el ODI omite: Azarbarzin et al. (2019) demostraron que la carga hipóxica predice mortalidad cardiovascular independientemente del AHI en más de 7.000 pacientes. Sin embargo, siguen siendo índices agregados nocturnos que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2"/>
        <w:spacing w:after="120" w:before="300"/>
      </w:pPr>
      <w:r>
        <w:rPr>
          <w:rFonts w:ascii="Times New Roman" w:cs="Times New Roman" w:eastAsia="Times New Roman" w:hAnsi="Times New Roman"/>
          <w:b/>
          <w:bCs/>
          <w:sz w:val="26"/>
          <w:szCs w:val="26"/>
        </w:rPr>
        <w:t xml:space="preserve">9.2  Fenotipado morfológico de EDOs: morfotipos C1–C5 y el ARI en perspectiva</w:t>
      </w:r>
    </w:p>
    <w:p>
      <w:pPr>
        <w:spacing w:after="80" w:before="200"/>
      </w:pPr>
      <w:r>
        <w:rPr>
          <w:rFonts w:ascii="Times New Roman" w:cs="Times New Roman" w:eastAsia="Times New Roman" w:hAnsi="Times New Roman"/>
          <w:b/>
          <w:bCs/>
          <w:sz w:val="24"/>
          <w:szCs w:val="24"/>
        </w:rPr>
        <w:t xml:space="preserve">9.2.1  Los morfotipos de curvas SpO₂ frente a la literatura</w:t>
      </w:r>
    </w:p>
    <w:p>
      <w:pPr>
        <w:spacing w:after="200" w:before="0" w:line="360" w:lineRule="auto"/>
        <w:jc w:val="both"/>
      </w:pPr>
      <w:r>
        <w:rPr>
          <w:rFonts w:ascii="Times New Roman" w:cs="Times New Roman" w:eastAsia="Times New Roman" w:hAnsi="Times New Roman"/>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—duración, profundidad— sin abordar la forma completa de la curva normalizada como objeto de clustering (Terrill, 2020). El enfoque es metodológicamente análogo al fenotipado no supervisado de señales ECG (Clifton et al., 2015), trasladado a un corpus de 84.248 eventos cuya escala no registra equivalente publicado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La distribución del intervalo inter-evento (IEI mediana = 82 s, 62,8 % de pares &lt; 2 min) justifica además la elección del baseline móvil de 120 s: equilibrio entre absorber el efecto residual de la desaturación anterior y evitar inercia excesiva en pacientes con hipoxemia basal persistente.</w:t>
      </w:r>
    </w:p>
    <w:p>
      <w:pPr>
        <w:spacing w:after="80" w:before="200"/>
      </w:pPr>
      <w:r>
        <w:rPr>
          <w:rFonts w:ascii="Times New Roman" w:cs="Times New Roman" w:eastAsia="Times New Roman" w:hAnsi="Times New Roman"/>
          <w:b/>
          <w:bCs/>
          <w:sz w:val="24"/>
          <w:szCs w:val="24"/>
        </w:rPr>
        <w:t xml:space="preserve">9.2.2  El ARI: una dimensión ortogonal a la severidad hipóxica</w:t>
      </w:r>
    </w:p>
    <w:p>
      <w:pPr>
        <w:spacing w:after="200" w:before="0" w:line="360" w:lineRule="auto"/>
        <w:jc w:val="both"/>
      </w:pPr>
      <w:r>
        <w:rPr>
          <w:rFonts w:ascii="Times New Roman" w:cs="Times New Roman" w:eastAsia="Times New Roman" w:hAnsi="Times New Roman"/>
          <w:sz w:val="24"/>
          <w:szCs w:val="24"/>
        </w:rPr>
        <w:t xml:space="preserve">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2"/>
        <w:spacing w:after="120" w:before="300"/>
      </w:pPr>
      <w:r>
        <w:rPr>
          <w:rFonts w:ascii="Times New Roman" w:cs="Times New Roman" w:eastAsia="Times New Roman" w:hAnsi="Times New Roman"/>
          <w:b/>
          <w:bCs/>
          <w:sz w:val="26"/>
          <w:szCs w:val="26"/>
        </w:rPr>
        <w:t xml:space="preserve">9.3  PAC States: la fisiología nocturna como sistema dinámico multiescala</w:t>
      </w:r>
    </w:p>
    <w:p>
      <w:pPr>
        <w:spacing w:after="80" w:before="200"/>
      </w:pPr>
      <w:r>
        <w:rPr>
          <w:rFonts w:ascii="Times New Roman" w:cs="Times New Roman" w:eastAsia="Times New Roman" w:hAnsi="Times New Roman"/>
          <w:b/>
          <w:bCs/>
          <w:sz w:val="24"/>
          <w:szCs w:val="24"/>
        </w:rPr>
        <w:t xml:space="preserve">9.3.1  Representación del sueño como secuencia de estados</w:t>
      </w:r>
    </w:p>
    <w:p>
      <w:pPr>
        <w:spacing w:after="200" w:before="0" w:line="360" w:lineRule="auto"/>
        <w:jc w:val="both"/>
      </w:pPr>
      <w:r>
        <w:rPr>
          <w:rFonts w:ascii="Times New Roman" w:cs="Times New Roman" w:eastAsia="Times New Roman" w:hAnsi="Times New Roman"/>
          <w:sz w:val="24"/>
          <w:szCs w:val="24"/>
        </w:rPr>
        <w:t xml:space="preserve">La representación del sueño como secuencia de estados fisiológicos discretos tiene antecedentes en HMM sobre señales de EEG y señales cardíacas (Penzel et al., 2016; Goldberger et al., 2002). La innovación del sistema PAC States radica en tres aspectos: construcción sobre señales de oximetría portátil sin EEG ni PSG; arquitectura triescala simultánea (30 s, 5 min, 30 min); y la especialización funcional emergente —cada escala predice mejor una dimensión distinta de la severidad— que no fue impuesta por diseño sino que surgió del clustering sobre los datos. Los estados PAC no se mapean a los estadios AASM —definidos sobre actividad cortical— porque fueron construidos sobre un espacio de señales diferente con un objetivo diferente: capturar la regulación autonómica y respiratoria nocturna, una dimensión que la taxonomía cortical no resuelve y que el monitoreo domiciliario portátil puede proveer.</w:t>
      </w:r>
    </w:p>
    <w:p>
      <w:pPr>
        <w:spacing w:after="80" w:before="200"/>
      </w:pPr>
      <w:r>
        <w:rPr>
          <w:rFonts w:ascii="Times New Roman" w:cs="Times New Roman" w:eastAsia="Times New Roman" w:hAnsi="Times New Roman"/>
          <w:b/>
          <w:bCs/>
          <w:sz w:val="24"/>
          <w:szCs w:val="24"/>
        </w:rPr>
        <w:t xml:space="preserve">9.3.2  Especialización funcional y variabilidad intraindividual</w:t>
      </w:r>
    </w:p>
    <w:p>
      <w:pPr>
        <w:spacing w:after="200" w:before="0" w:line="360" w:lineRule="auto"/>
        <w:jc w:val="both"/>
      </w:pPr>
      <w:r>
        <w:rPr>
          <w:rFonts w:ascii="Times New Roman" w:cs="Times New Roman" w:eastAsia="Times New Roman" w:hAnsi="Times New Roman"/>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Finalmente,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2"/>
        <w:spacing w:after="120" w:before="300"/>
      </w:pPr>
      <w:r>
        <w:rPr>
          <w:rFonts w:ascii="Times New Roman" w:cs="Times New Roman" w:eastAsia="Times New Roman" w:hAnsi="Times New Roman"/>
          <w:b/>
          <w:bCs/>
          <w:sz w:val="26"/>
          <w:szCs w:val="26"/>
        </w:rPr>
        <w:t xml:space="preserve">9.4  Acoplamiento morfotipo–estado: la estructura no aleatoria del riesgo nocturno</w:t>
      </w:r>
    </w:p>
    <w:p>
      <w:pPr>
        <w:spacing w:after="200" w:before="0" w:line="360" w:lineRule="auto"/>
        <w:jc w:val="both"/>
      </w:pPr>
      <w:r>
        <w:rPr>
          <w:rFonts w:ascii="Times New Roman" w:cs="Times New Roman" w:eastAsia="Times New Roman" w:hAnsi="Times New Roman"/>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2"/>
        <w:spacing w:after="120" w:before="300"/>
      </w:pPr>
      <w:r>
        <w:rPr>
          <w:rFonts w:ascii="Times New Roman" w:cs="Times New Roman" w:eastAsia="Times New Roman" w:hAnsi="Times New Roman"/>
          <w:b/>
          <w:bCs/>
          <w:sz w:val="26"/>
          <w:szCs w:val="26"/>
        </w:rPr>
        <w:t xml:space="preserve">9.5  Los modelos de predicción frente a la literatura</w:t>
      </w:r>
    </w:p>
    <w:p>
      <w:pPr>
        <w:spacing w:after="200" w:before="0" w:line="360" w:lineRule="auto"/>
        <w:jc w:val="both"/>
      </w:pPr>
      <w:r>
        <w:rPr>
          <w:rFonts w:ascii="Times New Roman" w:cs="Times New Roman" w:eastAsia="Times New Roman" w:hAnsi="Times New Roman"/>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En la literatura de predicción sobre señales portátiles, el resultado es competitivo: Behar et al. (2019) reportan AUC de 0,75–0,82 para predicción de desaturaciones con oxímetro en ventanas de 5–10 min; Clifton et al. (2015) reportan AUC de 0,78–0,85 para deterioro clínico hospitalario. La ventaja metodológica de NB08 es la validación LOPO-CV estricta, que previene la inflación del AUC por dependencia longitudinal —un problema frecuente en la literatura de ML en señales biomédicas—. El que ci_sofar (historia acumulada del acoplamiento) ocupe el top-3 de importancia en todos los horizontes es, adicionalmente, una validación prospectiva de la estructura de acoplamiento descrita en §9.4: si el acoplamiento fuera un artefacto espurio del clustering, no debería predecir eventos futuros con la consistencia observada.</w:t>
      </w:r>
    </w:p>
    <w:p>
      <w:pPr>
        <w:pStyle w:val="Heading2"/>
        <w:spacing w:after="120" w:before="300"/>
      </w:pPr>
      <w:r>
        <w:rPr>
          <w:rFonts w:ascii="Times New Roman" w:cs="Times New Roman" w:eastAsia="Times New Roman" w:hAnsi="Times New Roman"/>
          <w:b/>
          <w:bCs/>
          <w:sz w:val="26"/>
          <w:szCs w:val="26"/>
        </w:rPr>
        <w:t xml:space="preserve">9.6  Oximetría domiciliaria como plataforma de fenotipado frente a PSG</w:t>
      </w:r>
    </w:p>
    <w:p>
      <w:pPr>
        <w:spacing w:after="200" w:before="0" w:line="360" w:lineRule="auto"/>
        <w:jc w:val="both"/>
      </w:pPr>
      <w:r>
        <w:rPr>
          <w:rFonts w:ascii="Times New Roman" w:cs="Times New Roman" w:eastAsia="Times New Roman" w:hAnsi="Times New Roman"/>
          <w:sz w:val="24"/>
          <w:szCs w:val="24"/>
        </w:rPr>
        <w:t xml:space="preserve">La PSG registra SpO₂ de forma continua y podría, en principio, producir las mismas curvas morfológicas de evento que el SOMNI 6000. Lo que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no reside en el tipo de sensor sino en el diseño longitudinal domiciliario: 553 noches de calidad de 12 pacientes generan un corpus cuya escala y representatividad ecológica no es reproducible en laboratorio. La afirmación central es que la oximetría portátil de un único sensor, adecuadamente procesada, puede producir representaciones fenotípicas —morfotipos de curva SpO₂, estados dinámicos multiescala, acoplamiento sobre 80.000+ eventos— que PSG no produce habitualmente porque no fue diseñada para ese tipo de análisis longitudinal. Esto no invalida a PSG como gold standard diagnóstico. La pregunta empírica abierta —cuánta información adicional aportaría el EEG sobre los morfotipos y estados ya identificados— queda como trabajo futuro que requiere una cohorte con PSG simultánea.</w:t>
      </w:r>
    </w:p>
    <w:p>
      <w:pPr>
        <w:pStyle w:val="Heading2"/>
        <w:spacing w:after="120" w:before="300"/>
      </w:pPr>
      <w:r>
        <w:rPr>
          <w:rFonts w:ascii="Times New Roman" w:cs="Times New Roman" w:eastAsia="Times New Roman" w:hAnsi="Times New Roman"/>
          <w:b/>
          <w:bCs/>
          <w:sz w:val="26"/>
          <w:szCs w:val="26"/>
        </w:rPr>
        <w:t xml:space="preserve">9.7  Limitaciones integradas del arco analítico</w:t>
      </w:r>
    </w:p>
    <w:p>
      <w:pPr>
        <w:spacing w:after="200" w:before="0" w:line="360" w:lineRule="auto"/>
        <w:jc w:val="both"/>
      </w:pPr>
      <w:r>
        <w:rPr>
          <w:rFonts w:ascii="Times New Roman" w:cs="Times New Roman" w:eastAsia="Times New Roman" w:hAnsi="Times New Roman"/>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de eventos severos), que requiere calibración individual del umbral mediante un período de rodaje sin intervención, imposible con un umbral único estático.</w:t>
      </w:r>
    </w:p>
    <w:p>
      <w:pPr>
        <w:pStyle w:val="Heading2"/>
        <w:spacing w:after="120" w:before="300"/>
      </w:pPr>
      <w:r>
        <w:rPr>
          <w:rFonts w:ascii="Times New Roman" w:cs="Times New Roman" w:eastAsia="Times New Roman" w:hAnsi="Times New Roman"/>
          <w:b/>
          <w:bCs/>
          <w:sz w:val="26"/>
          <w:szCs w:val="26"/>
        </w:rPr>
        <w:t xml:space="preserve">9.8  Síntesis: contribuciones principales</w:t>
      </w:r>
    </w:p>
    <w:p>
      <w:pPr>
        <w:spacing w:after="200" w:before="0" w:line="360" w:lineRule="auto"/>
        <w:jc w:val="both"/>
      </w:pPr>
      <w:r>
        <w:rPr>
          <w:rFonts w:ascii="Times New Roman" w:cs="Times New Roman" w:eastAsia="Times New Roman" w:hAnsi="Times New Roman"/>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pPr>
        <w:spacing w:before="400"/>
      </w:pPr>
      <w:r>
        <w:rPr>
          <w:rFonts w:ascii="Times New Roman" w:cs="Times New Roman" w:eastAsia="Times New Roman" w:hAnsi="Times New Roman"/>
          <w:i/>
          <w:iCs/>
          <w:color w:val="444444"/>
          <w:sz w:val="24"/>
          <w:szCs w:val="24"/>
        </w:rPr>
        <w:t xml:space="preserve">Continúa en Capítulo 10 — Conclusiones</w:t>
      </w:r>
    </w:p>
    <w:sectPr>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2026-06-02T19:36:38.274Z</dcterms:created>
  <dcterms:modified xsi:type="dcterms:W3CDTF">2026-06-02T19:36:38.275Z</dcterms:modified>
</cp:coreProperties>
</file>

<file path=docProps/custom.xml><?xml version="1.0" encoding="utf-8"?>
<Properties xmlns="http://schemas.openxmlformats.org/officeDocument/2006/custom-properties" xmlns:vt="http://schemas.openxmlformats.org/officeDocument/2006/docPropsVTypes"/>
</file>