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FCB0" w14:textId="77777777" w:rsidR="00A605E8" w:rsidRPr="00E54435" w:rsidRDefault="00000000">
      <w:pPr>
        <w:spacing w:after="80"/>
        <w:rPr>
          <w:rFonts w:asciiTheme="minorHAnsi" w:hAnsiTheme="minorHAnsi"/>
        </w:rPr>
      </w:pPr>
      <w:r w:rsidRPr="00E54435">
        <w:rPr>
          <w:rFonts w:asciiTheme="minorHAnsi" w:hAnsiTheme="minorHAnsi"/>
          <w:b/>
          <w:bCs/>
          <w:color w:val="6B7280"/>
          <w:sz w:val="20"/>
          <w:szCs w:val="20"/>
        </w:rPr>
        <w:t>CAPÍTULO 9</w:t>
      </w:r>
    </w:p>
    <w:p w14:paraId="0817EE51" w14:textId="77777777" w:rsidR="00A605E8" w:rsidRPr="00E54435" w:rsidRDefault="00000000">
      <w:pPr>
        <w:spacing w:after="80"/>
        <w:rPr>
          <w:rFonts w:asciiTheme="minorHAnsi" w:hAnsiTheme="minorHAnsi"/>
        </w:rPr>
      </w:pPr>
      <w:r w:rsidRPr="00E54435">
        <w:rPr>
          <w:rFonts w:asciiTheme="minorHAnsi" w:hAnsiTheme="minorHAnsi"/>
          <w:b/>
          <w:bCs/>
          <w:color w:val="1E3A5F"/>
          <w:sz w:val="36"/>
          <w:szCs w:val="36"/>
        </w:rPr>
        <w:t>Discusión</w:t>
      </w:r>
    </w:p>
    <w:p w14:paraId="191E4F01" w14:textId="77777777" w:rsidR="00A605E8" w:rsidRPr="00E54435" w:rsidRDefault="00000000">
      <w:pPr>
        <w:spacing w:after="280"/>
        <w:rPr>
          <w:rFonts w:asciiTheme="minorHAnsi" w:hAnsiTheme="minorHAnsi"/>
        </w:rPr>
      </w:pPr>
      <w:r w:rsidRPr="00E54435">
        <w:rPr>
          <w:rFonts w:asciiTheme="minorHAnsi" w:hAnsiTheme="minorHAnsi"/>
          <w:color w:val="6B7280"/>
          <w:sz w:val="18"/>
          <w:szCs w:val="18"/>
        </w:rPr>
        <w:t>Versión 6  ·  Junio 2026</w:t>
      </w:r>
    </w:p>
    <w:p w14:paraId="3AC987F8"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14:paraId="60720E2F"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9.1  Índices de evento e índices agregados nocturnos</w:t>
      </w:r>
    </w:p>
    <w:p w14:paraId="1296F9CB"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El AHI es el índice de referencia del SAOS (Berry et al., 2012); el ODI3 es su subrogante oxiométrico con concordancia r &gt; 0,85 frente a PSG en el rango moderado-severo de esta cohorte (Masa et al., 2011). El pipeline adopta un umbral interno de ≥ 2 pp para la detección de EDOs —reservando el ODI3 para estratificación— porque el umbral clínico es una convención diagnóstica, no una frontera fisiológica: un evento de 2,5 pp tiene morfología y respuesta autonómica igualmente informativas que uno de 3,2 pp. El T90 y la carga hipóxica representan los intentos más exitosos de capturar la dimensión temporal de la hipoxemia que el ODI omite: Azarbarzin et al. (2019) demostraron que la carga hipóxica predice mortalidad cardiovascular independientemente del AHI en más de 7.000 pacientes. Sin embargo, siguen siendo índices agregados nocturnos que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14:paraId="44F9969F"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9.2  Fenotipado morfológico de EDOs: morfotipos C1–C5 y el ARI en perspectiva</w:t>
      </w:r>
    </w:p>
    <w:p w14:paraId="36141C3E" w14:textId="77777777" w:rsidR="00A605E8" w:rsidRPr="00E54435" w:rsidRDefault="00000000" w:rsidP="00E54435">
      <w:pPr>
        <w:pStyle w:val="Ttulo2"/>
        <w:spacing w:before="240" w:after="100" w:line="360" w:lineRule="auto"/>
        <w:rPr>
          <w:rFonts w:asciiTheme="minorHAnsi" w:hAnsiTheme="minorHAnsi"/>
        </w:rPr>
      </w:pPr>
      <w:r w:rsidRPr="00E54435">
        <w:rPr>
          <w:rFonts w:asciiTheme="minorHAnsi" w:hAnsiTheme="minorHAnsi"/>
          <w:b/>
          <w:bCs/>
          <w:color w:val="1E3A5F"/>
          <w:sz w:val="23"/>
          <w:szCs w:val="23"/>
        </w:rPr>
        <w:t>9.2.1  Los morfotipos de curvas SpO₂ frente a la literatura</w:t>
      </w:r>
    </w:p>
    <w:p w14:paraId="3C8C3F21"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lastRenderedPageBreak/>
        <w:t>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—duración, profundidad— sin abordar la forma completa de la curva normalizada como objeto de clustering (Terrill, 2020). El enfoque es metodológicamente análogo al fenotipado no supervisado de señales ECG (Clifton et al., 2015), trasladado a un corpus de 84.248 eventos cuya escala no registra equivalente publicado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La distribución del intervalo inter-evento (IEI mediana = 82 s; 62,8 % de pares &lt; 2 min) justifica además la elección del baseline móvil de 120 s: equilibrio entre absorber el efecto residual de la desaturación anterior y evitar inercia excesiva en pacientes con hipoxemia basal persistente.</w:t>
      </w:r>
    </w:p>
    <w:p w14:paraId="6B5EAF33" w14:textId="77777777" w:rsidR="00A605E8" w:rsidRPr="00E54435" w:rsidRDefault="00000000" w:rsidP="00E54435">
      <w:pPr>
        <w:pStyle w:val="Ttulo2"/>
        <w:spacing w:before="240" w:after="100" w:line="360" w:lineRule="auto"/>
        <w:rPr>
          <w:rFonts w:asciiTheme="minorHAnsi" w:hAnsiTheme="minorHAnsi"/>
        </w:rPr>
      </w:pPr>
      <w:r w:rsidRPr="00E54435">
        <w:rPr>
          <w:rFonts w:asciiTheme="minorHAnsi" w:hAnsiTheme="minorHAnsi"/>
          <w:b/>
          <w:bCs/>
          <w:color w:val="1E3A5F"/>
          <w:sz w:val="23"/>
          <w:szCs w:val="23"/>
        </w:rPr>
        <w:t>9.2.2  El ARI: una dimensión ortogonal a la severidad hipóxica</w:t>
      </w:r>
    </w:p>
    <w:p w14:paraId="2A742C0B"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El ARI es la contribución metodológica más original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45CA66DB"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9.3  PAC States: la fisiología nocturna como sistema dinámico multiescala</w:t>
      </w:r>
    </w:p>
    <w:p w14:paraId="00D8B6A1" w14:textId="77777777" w:rsidR="00A605E8" w:rsidRPr="00E54435" w:rsidRDefault="00000000" w:rsidP="00E54435">
      <w:pPr>
        <w:pStyle w:val="Ttulo2"/>
        <w:spacing w:before="240" w:after="100" w:line="360" w:lineRule="auto"/>
        <w:rPr>
          <w:rFonts w:asciiTheme="minorHAnsi" w:hAnsiTheme="minorHAnsi"/>
        </w:rPr>
      </w:pPr>
      <w:r w:rsidRPr="00E54435">
        <w:rPr>
          <w:rFonts w:asciiTheme="minorHAnsi" w:hAnsiTheme="minorHAnsi"/>
          <w:b/>
          <w:bCs/>
          <w:color w:val="1E3A5F"/>
          <w:sz w:val="23"/>
          <w:szCs w:val="23"/>
        </w:rPr>
        <w:t>9.3.1  Representación del sueño como secuencia de estados</w:t>
      </w:r>
    </w:p>
    <w:p w14:paraId="14E2F484"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 xml:space="preserve">La representación del sueño como secuencia de estados fisiológicos discretos tiene antecedentes en modelos de Markov ocultos sobre señales de EEG y señales cardíacas (Penzel et al., 2016; Goldberger et al., 2002). La innovación del sistema PAC States radica en tres </w:t>
      </w:r>
      <w:r w:rsidRPr="00E54435">
        <w:rPr>
          <w:rFonts w:asciiTheme="minorHAnsi" w:hAnsiTheme="minorHAnsi"/>
        </w:rPr>
        <w:lastRenderedPageBreak/>
        <w:t>aspectos: construcción sobre señales de oximetría portátil sin EEG ni PSG; arquitectura triescala simultánea (30 s, 5 min, 30 min); y la especialización funcional emergente —cada escala predice mejor una dimensión distinta de la severidad— que no fue impuesta por diseño sino que surgió del clustering sobre los datos. Los estados PAC no se mapean a los estadios AASM —definidos sobre actividad cortical— porque fueron construidos sobre un espacio de señales diferente con un objetivo diferente: capturar la regulación autonómica y respiratoria nocturna, una dimensión que la taxonomía cortical no resuelve y que el monitoreo domiciliario portátil puede proveer.</w:t>
      </w:r>
    </w:p>
    <w:p w14:paraId="61CB1E01" w14:textId="77777777" w:rsidR="00A605E8" w:rsidRPr="00E54435" w:rsidRDefault="00000000" w:rsidP="00E54435">
      <w:pPr>
        <w:pStyle w:val="Ttulo2"/>
        <w:spacing w:before="240" w:after="100" w:line="360" w:lineRule="auto"/>
        <w:rPr>
          <w:rFonts w:asciiTheme="minorHAnsi" w:hAnsiTheme="minorHAnsi"/>
        </w:rPr>
      </w:pPr>
      <w:r w:rsidRPr="00E54435">
        <w:rPr>
          <w:rFonts w:asciiTheme="minorHAnsi" w:hAnsiTheme="minorHAnsi"/>
          <w:b/>
          <w:bCs/>
          <w:color w:val="1E3A5F"/>
          <w:sz w:val="23"/>
          <w:szCs w:val="23"/>
        </w:rPr>
        <w:t>9.3.2  Especialización funcional y variabilidad intraindividual</w:t>
      </w:r>
    </w:p>
    <w:p w14:paraId="484AFE97"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0015D082"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9.4  Acoplamiento morfotipo–estado: la estructura no aleatoria del riesgo nocturno</w:t>
      </w:r>
    </w:p>
    <w:p w14:paraId="5FECC30C"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19038991"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lastRenderedPageBreak/>
        <w:t>9.5  Los modelos de predicción frente a la literatura</w:t>
      </w:r>
    </w:p>
    <w:p w14:paraId="37C13780"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En la literatura de predicción sobre señales portátiles, el resultado es competitivo: Behar et al. (2019) reportan AUC de 0,75–0,82 para predicción de desaturaciones con oxímetro en ventanas de 5–10 min; Clifton et al. (2015) reportan AUC de 0,78–0,85 para deterioro clínico hospitalario en horizontes de 1–6 horas. La ventaja metodológica de NB08 es la validación LOPO-CV estricta, que previene la inflación del AUC por dependencia longitudinal —un problema frecuente en la literatura de ML en señales biomédicas—. El que ci_sofar (historia acumulada del acoplamiento) ocupe el top-3 de importancia en todos los horizontes es, adicionalmente, una validación prospectiva de la estructura de acoplamiento descrita en §9.4: si el acoplamiento fuera un artefacto espurio del clustering, no debería predecir eventos futuros con la consistencia observada.</w:t>
      </w:r>
    </w:p>
    <w:p w14:paraId="0A7AE958"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El lead time de H = 5 min no es solo el horizonte de mejor AUC: es la condición algorítmica mínima para que una intervención adaptativa sea plausible. En el marco metodológico estándar de desarrollo de dispositivos médicos adaptativos, la cadena de validación distingue tres fases secuenciales —validación analítica (¿las representaciones contienen información predictiva?), validación de factibilidad (¿existe horizonte temporal suficiente para una intervención?) y validación clínica (¿actuar sobre esa predicción tiene efecto terapéutico?)—. El Proyecto PAC completa las dos primeras: las representaciones PAC contienen información predictiva prospectiva generalizable entre pacientes, y H = 5 min supera el margen de activación requerido por el estimulador transcutáneo del SOMNI 6000 —que necesita ser activado con al menos 90 segundos de anticipación (Clifton et al., 2015)— por un factor mayor a 3. La tercera fase, el ensayo clínico controlado, es trabajo futuro explícito cuyo diseño se articula en §9.7.</w:t>
      </w:r>
    </w:p>
    <w:p w14:paraId="28567F28"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9.6  Oximetría domiciliaria como plataforma de fenotipado frente al PSG</w:t>
      </w:r>
    </w:p>
    <w:p w14:paraId="1958DF20"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 xml:space="preserve">La PSG registra SpO₂ de forma continua y podría, en principio, producir las mismas curvas morfológicas de evento que el SOMNI 6000. Lo que la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no reside en el tipo de sensor sino en el diseño longitudinal domiciliario: 553 noches de calidad de 12 pacientes generan un corpus cuya escala y representatividad ecológica no es reproducible en laboratorio. La afirmación central es que la </w:t>
      </w:r>
      <w:r w:rsidRPr="00E54435">
        <w:rPr>
          <w:rFonts w:asciiTheme="minorHAnsi" w:hAnsiTheme="minorHAnsi"/>
        </w:rPr>
        <w:lastRenderedPageBreak/>
        <w:t>oximetría portátil de un único sensor, adecuadamente procesada, puede producir representaciones fenotípicas —morfotipos de curva SpO₂, estados dinámicos multiescala, acoplamiento sobre 80.000 + eventos— que la PSG no produce habitualmente porque no fue diseñada para ese tipo de análisis longitudinal. Esto no invalida a la PSG como gold standard diagnóstico. La pregunta empírica abierta —cuánta información adicional aportaría el EEG sobre los morfotipos y estados ya identificados— queda como trabajo futuro que requiere una cohorte con PSG simultánea.</w:t>
      </w:r>
    </w:p>
    <w:p w14:paraId="01748DF2"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9.7  Hacia la terapéutica automática del SAOS severo: condición algorítmica y agenda clínica</w:t>
      </w:r>
    </w:p>
    <w:p w14:paraId="6F761CAE"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21374004"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b/>
          <w:bCs/>
        </w:rPr>
        <w:t>La heterogeneidad inter-paciente como barrera principal.</w:t>
      </w:r>
      <w:r w:rsidRPr="00E54435">
        <w:rPr>
          <w:rFonts w:asciiTheme="minorHAnsi" w:hAnsiTheme="minorHAnsi"/>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5F9FA19C"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b/>
          <w:bCs/>
        </w:rPr>
        <w:t>La circularidad PAC y el requisito de validación externa.</w:t>
      </w:r>
      <w:r w:rsidRPr="00E54435">
        <w:rPr>
          <w:rFonts w:asciiTheme="minorHAnsi" w:hAnsiTheme="minorHAnsi"/>
        </w:rPr>
        <w:t xml:space="preserve"> Los modelos no supervisados que definen las representaciones PAC fueron construidos sobre la misma cohorte que los modelos supervisados. La validación LOPO-CV mitiga pero no elimina esta circularidad. Una cohorte </w:t>
      </w:r>
      <w:r w:rsidRPr="00E54435">
        <w:rPr>
          <w:rFonts w:asciiTheme="minorHAnsi" w:hAnsiTheme="minorHAnsi"/>
        </w:rPr>
        <w:lastRenderedPageBreak/>
        <w:t>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0A07B471"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b/>
          <w:bCs/>
        </w:rPr>
        <w:t>El diseño del ensayo clínico.</w:t>
      </w:r>
      <w:r w:rsidRPr="00E54435">
        <w:rPr>
          <w:rFonts w:asciiTheme="minorHAnsi" w:hAnsiTheme="minorHAnsi"/>
        </w:rPr>
        <w:t xml:space="preserve"> Un ensayo controlado para evaluar la eficacia terapéutica de la estimulación basada en estado PAC requeriría, como mínimo: una cohorte de 30–50 pacientes con SAOS moderado-severo con PSG basal confirmatoria;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64A21390"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9.8  Limitaciones integradas del arco analítico</w:t>
      </w:r>
    </w:p>
    <w:p w14:paraId="38D56436"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t>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6D7250D8" w14:textId="77777777" w:rsidR="00A605E8" w:rsidRPr="00E54435" w:rsidRDefault="00000000" w:rsidP="00E54435">
      <w:pPr>
        <w:pStyle w:val="Ttulo1"/>
        <w:spacing w:before="320" w:after="120" w:line="360" w:lineRule="auto"/>
        <w:rPr>
          <w:rFonts w:asciiTheme="minorHAnsi" w:hAnsiTheme="minorHAnsi"/>
        </w:rPr>
      </w:pPr>
      <w:r w:rsidRPr="00E54435">
        <w:rPr>
          <w:rFonts w:asciiTheme="minorHAnsi" w:hAnsiTheme="minorHAnsi"/>
          <w:b/>
          <w:bCs/>
          <w:color w:val="1E3A5F"/>
          <w:sz w:val="26"/>
          <w:szCs w:val="26"/>
        </w:rPr>
        <w:t>9.9  Síntesis: contribuciones principales</w:t>
      </w:r>
    </w:p>
    <w:p w14:paraId="55945784" w14:textId="77777777" w:rsidR="00A605E8" w:rsidRPr="00E54435" w:rsidRDefault="00000000" w:rsidP="00E54435">
      <w:pPr>
        <w:spacing w:after="160" w:line="360" w:lineRule="auto"/>
        <w:jc w:val="both"/>
        <w:rPr>
          <w:rFonts w:asciiTheme="minorHAnsi" w:hAnsiTheme="minorHAnsi"/>
        </w:rPr>
      </w:pPr>
      <w:r w:rsidRPr="00E54435">
        <w:rPr>
          <w:rFonts w:asciiTheme="minorHAnsi" w:hAnsiTheme="minorHAnsi"/>
        </w:rPr>
        <w:lastRenderedPageBreak/>
        <w:t>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tres contribuciones se sitúan con precisión: el fenotipado morfológico de 85.277 eventos mediante K-means sobre curvas PCA-reducidas no tiene precedente a esa escala en oximetría portátil; la cuantificación de la especialización funcional de los estados PAC multiescala amplía los resultados previos de análisis dinámico del sueño al mostrar que escalas distintas predicen dimensiones distintas de la severidad; y la predicción prospectiva (AUC = 0,821, H = 5 min, LOPO-CV estricto) establece la condición algorítmica mínima para una intervención terapéutica adaptativa. Si se replica en una cohorte externa y se valida en ensayo controlado, este último resultado podría tener impacto directo en el diseño de dispositivos de terapia adaptativa del SAOS.</w:t>
      </w:r>
    </w:p>
    <w:p w14:paraId="36EE561E" w14:textId="77777777" w:rsidR="00A605E8" w:rsidRPr="00E54435" w:rsidRDefault="00000000">
      <w:pPr>
        <w:spacing w:after="160" w:line="276" w:lineRule="auto"/>
        <w:jc w:val="both"/>
        <w:rPr>
          <w:rFonts w:asciiTheme="minorHAnsi" w:hAnsiTheme="minorHAnsi"/>
        </w:rPr>
      </w:pPr>
      <w:r w:rsidRPr="00E54435">
        <w:rPr>
          <w:rFonts w:asciiTheme="minorHAnsi" w:hAnsiTheme="minorHAnsi"/>
        </w:rPr>
        <w:t>Continúa en Capítulo 10 — Conclusiones</w:t>
      </w:r>
    </w:p>
    <w:p w14:paraId="706A9DB4" w14:textId="77777777" w:rsidR="00A605E8" w:rsidRPr="00E54435" w:rsidRDefault="00000000">
      <w:pPr>
        <w:rPr>
          <w:rFonts w:asciiTheme="minorHAnsi" w:hAnsiTheme="minorHAnsi"/>
        </w:rPr>
      </w:pPr>
      <w:r w:rsidRPr="00E54435">
        <w:rPr>
          <w:rFonts w:asciiTheme="minorHAnsi" w:hAnsiTheme="minorHAnsi"/>
        </w:rPr>
        <w:br w:type="page"/>
      </w:r>
    </w:p>
    <w:p w14:paraId="4530F64E" w14:textId="77777777" w:rsidR="00A605E8" w:rsidRPr="00E54435" w:rsidRDefault="00000000">
      <w:pPr>
        <w:pStyle w:val="Ttulo1"/>
        <w:spacing w:before="320" w:after="120"/>
        <w:rPr>
          <w:rFonts w:asciiTheme="minorHAnsi" w:hAnsiTheme="minorHAnsi"/>
        </w:rPr>
      </w:pPr>
      <w:r w:rsidRPr="00E54435">
        <w:rPr>
          <w:rFonts w:asciiTheme="minorHAnsi" w:hAnsiTheme="minorHAnsi"/>
          <w:b/>
          <w:bCs/>
          <w:color w:val="1E3A5F"/>
          <w:sz w:val="26"/>
          <w:szCs w:val="26"/>
        </w:rPr>
        <w:lastRenderedPageBreak/>
        <w:t>Referencias</w:t>
      </w:r>
    </w:p>
    <w:p w14:paraId="0265E82E"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Álvarez, D., Gutiérrez-Tobal, G. C., Vaquerizo-Villar, F., et al. (2022). Oximetry indices in the management of sleep apnea: from overnight minimum saturation to the novel hypoxemia measures. Advances in Experimental Medicine and Biology. https://pubmed.ncbi.nlm.nih.gov/36217087</w:t>
      </w:r>
    </w:p>
    <w:p w14:paraId="1A88D806"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0ED41136"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Behar, J. A., Palmius, N., Li, Q., Garber, M., Nagaraj, S. B., &amp; Clifford, G. D. (2019). Feasibility of single channel oximetry for mass screening of obstructive sleep apnea. EClinicalMedicine, 11, 81–88. https://doi.org/10.1016/j.eclinm.2019.05.009</w:t>
      </w:r>
    </w:p>
    <w:p w14:paraId="78A5037B"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14:paraId="6D836EBB"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663BEF19"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Biedebach, L., Ferreira-Santos, D., Stefanos, M. A., et al. (2025). Unsupervised machine learning in sleep research: a scoping review. Sleep. https://pubmed.ncbi.nlm.nih.gov/40719375</w:t>
      </w:r>
    </w:p>
    <w:p w14:paraId="245072F7"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14:paraId="3D574240"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Duran-Cantolla, J., Aizpuru, F., Montserrat, J. M., et al. (2010). Continuous positive airway pressure as treatment for systemic hypertension in people with obstructive sleep apnoea: randomised controlled trial. BMJ, 341, c5991. https://doi.org/10.1136/bmj.c5991</w:t>
      </w:r>
    </w:p>
    <w:p w14:paraId="579566E4"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Eckert, D. J., White, D. P., Jordan, A. S., Malhotra, A., &amp; Wellman, A. (2013). Defining phenotypic causes of obstructive sleep apnea. Identification of novel therapeutic targets. American Journal of Respiratory and Critical Care Medicine, 188(8), 996–1004. https://doi.org/10.1164/rccm.201303-0448OC</w:t>
      </w:r>
    </w:p>
    <w:p w14:paraId="19992A46"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14:paraId="23F7730F"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Inza, R., et al. (en preparación). Fenotipado morfológico y respuesta autonómica en eventos de desaturación nocturna: el Índice de Reactividad Autonómica (ARI). [T1]</w:t>
      </w:r>
    </w:p>
    <w:p w14:paraId="6705BFB1"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Inza, R., et al. (en preparación). Estados dinámicos multiescala de la fisiología nocturna en SAOS: el sistema PAC States. [T2]</w:t>
      </w:r>
    </w:p>
    <w:p w14:paraId="6297E0CF"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Inza, R., et al. (en preparación). Acoplamiento morfotipo–estado y modelado predictivo basado en representaciones PAC. [T3]</w:t>
      </w:r>
    </w:p>
    <w:p w14:paraId="77985A89"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Inza, R., et al. (en preparación). Predicción prospectiva de eventos de desaturación severa con horizonte temporal clínico mediante representaciones PAC. [T4]</w:t>
      </w:r>
    </w:p>
    <w:p w14:paraId="2AD624D8"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Ke, G., Meng, Q., Finley, T., Wang, T., Chen, W., Ma, W., Ye, Q., &amp; Liu, T.-Y. (2017). LightGBM: a highly efficient gradient boosting decision tree. Advances in Neural Information Processing Systems, 30, 3146–3154.</w:t>
      </w:r>
    </w:p>
    <w:p w14:paraId="74503BAC"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Lévy, P., Kohler, M., McNicholas, W. T., Barbé, F., McEvoy, R. D., Somers, V. K., … &amp; Pépin, J.-L. (2015). Obstructive sleep apnoea syndrome. Nature Reviews Disease Primers, 1, 15015. https://doi.org/10.1038/nrdp.2015.15</w:t>
      </w:r>
    </w:p>
    <w:p w14:paraId="450E2115"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Masa, J. F., Corral, J., Pereira, R., et al. (2011). Effectiveness of home respiratory polygraphy for the diagnosis of sleep apnoea and hypopnoea syndrome. Thorax, 66(7), 567–573. https://doi.org/10.1136/thx.2010.152272</w:t>
      </w:r>
    </w:p>
    <w:p w14:paraId="4A17F62C"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Narkiewicz, K., &amp; Somers, V. K. (2003). Sympathetic nerve activity in obstructive sleep apnoea. Acta Physiologica Scandinavica, 177(3), 385–390. https://doi.org/10.1046/j.1365-201X.2003.01091.x</w:t>
      </w:r>
    </w:p>
    <w:p w14:paraId="144BE422"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Niculescu-Mizil, A., &amp; Caruana, R. (2005). Predicting good probabilities with supervised learning. Proceedings of the 22nd International Conference on Machine Learning (ICML), 625–632. https://doi.org/10.1145/1102351.1102430</w:t>
      </w:r>
    </w:p>
    <w:p w14:paraId="3E7BA047"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lastRenderedPageBreak/>
        <w:t>Penzel, T., Kantelhardt, J. W., Bartsch, R. P., et al. (2016). Modulations of heart rate, ECG, and cardio-respiratory coupling observed in polysomnography. Frontiers in Physiology, 7, 460. https://doi.org/10.3389/fphys.2016.00460</w:t>
      </w:r>
    </w:p>
    <w:p w14:paraId="27C098EA"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Prabhakar, N. R. (2016). Carotid body chemoreflex: a new frontier in the treatment of cardiorespiratory diseases. Advances in Experimental Medicine and Biology, 860, 53–63. https://doi.org/10.1007/978-3-319-18440-1_6</w:t>
      </w:r>
    </w:p>
    <w:p w14:paraId="22B709AC"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Saito, T., &amp; Rehmsmeier, M. (2015). The precision-recall plot is more informative than the ROC plot when evaluating binary classifiers on imbalanced datasets. PLOS ONE, 10(3), e0118432. https://doi.org/10.1371/journal.pone.0118432</w:t>
      </w:r>
    </w:p>
    <w:p w14:paraId="62FADBF5"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Sands, S. A., Terrill, P. I., Edwards, B. A., et al. (2021). Quantifying the arousal threshold using polysomnography in obstructive sleep apnea. Sleep, 41(1), zsx183. https://doi.org/10.1093/sleep/zsx183</w:t>
      </w:r>
    </w:p>
    <w:p w14:paraId="4CD522FD"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Stradling, J. R., &amp; Davies, R. J. O. (2004). Sleep · 1: Obstructive sleep apnoea/hypopnoea syndrome: definitions, epidemiology, and natural history. Thorax, 59(1), 73–78. https://doi.org/10.1136/thorax.59.1.73</w:t>
      </w:r>
    </w:p>
    <w:p w14:paraId="27AC2DB6"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Terrill, P. I. (2020). A review of approaches for analysing obstructive sleep apnoea-related patterns in pulse oximetry data. Respirology. https://pubmed.ncbi.nlm.nih.gov/31246376</w:t>
      </w:r>
    </w:p>
    <w:p w14:paraId="136264E1"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Wellman, A., Eckert, D. J., Jordan, A. S., et al. (2011). A method for measuring and modeling the physiological traits causing obstructive sleep apnea. Journal of Applied Physiology, 110(6), 1627–1637. https://doi.org/10.1152/japplphysiol.00972.2010</w:t>
      </w:r>
    </w:p>
    <w:p w14:paraId="40C4C356" w14:textId="77777777" w:rsidR="00A605E8" w:rsidRPr="00E54435" w:rsidRDefault="00000000">
      <w:pPr>
        <w:spacing w:after="140" w:line="260" w:lineRule="auto"/>
        <w:ind w:left="720" w:hanging="720"/>
        <w:rPr>
          <w:rFonts w:asciiTheme="minorHAnsi" w:hAnsiTheme="minorHAnsi"/>
        </w:rPr>
      </w:pPr>
      <w:r w:rsidRPr="00E54435">
        <w:rPr>
          <w:rFonts w:asciiTheme="minorHAnsi" w:hAnsiTheme="minorHAnsi"/>
          <w:sz w:val="18"/>
          <w:szCs w:val="18"/>
        </w:rPr>
        <w:t>Zhang, X., Li, F., Fang, Y., et al. (2026). Novel event-based peripheral oxygen saturation metrics provide complementary information for OSA classification. IEEE Transactions on Bio-Medical Engineering. https://pubmed.ncbi.nlm.nih.gov/41701586</w:t>
      </w:r>
    </w:p>
    <w:sectPr w:rsidR="00A605E8" w:rsidRPr="00E54435">
      <w:headerReference w:type="default" r:id="rId7"/>
      <w:footerReference w:type="default" r:id="rId8"/>
      <w:pgSz w:w="11906" w:h="16838"/>
      <w:pgMar w:top="1000" w:right="1000" w:bottom="10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8AA6" w14:textId="77777777" w:rsidR="0064171B" w:rsidRDefault="0064171B">
      <w:r>
        <w:separator/>
      </w:r>
    </w:p>
  </w:endnote>
  <w:endnote w:type="continuationSeparator" w:id="0">
    <w:p w14:paraId="4237FB76" w14:textId="77777777" w:rsidR="0064171B" w:rsidRDefault="00641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EACA" w14:textId="77777777" w:rsidR="00A605E8" w:rsidRDefault="00000000">
    <w:pPr>
      <w:pBdr>
        <w:top w:val="single" w:sz="4" w:space="4" w:color="D0D8E4"/>
      </w:pBdr>
      <w:jc w:val="right"/>
    </w:pPr>
    <w:r>
      <w:rPr>
        <w:color w:val="6B7280"/>
        <w:sz w:val="16"/>
        <w:szCs w:val="16"/>
      </w:rPr>
      <w:t xml:space="preserve">Roberto Inza · Universidad Austral · 2026   </w:t>
    </w:r>
    <w:r>
      <w:rPr>
        <w:color w:val="6B7280"/>
        <w:sz w:val="16"/>
        <w:szCs w:val="16"/>
      </w:rPr>
      <w:fldChar w:fldCharType="begin"/>
    </w:r>
    <w:r>
      <w:rPr>
        <w:color w:val="6B7280"/>
        <w:sz w:val="16"/>
        <w:szCs w:val="16"/>
      </w:rPr>
      <w:instrText>PAGE</w:instrText>
    </w:r>
    <w:r>
      <w:rPr>
        <w:color w:val="6B7280"/>
        <w:sz w:val="16"/>
        <w:szCs w:val="16"/>
      </w:rPr>
      <w:fldChar w:fldCharType="separate"/>
    </w:r>
    <w:r w:rsidR="00E5443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D8D4" w14:textId="77777777" w:rsidR="0064171B" w:rsidRDefault="0064171B">
      <w:r>
        <w:separator/>
      </w:r>
    </w:p>
  </w:footnote>
  <w:footnote w:type="continuationSeparator" w:id="0">
    <w:p w14:paraId="0DF63137" w14:textId="77777777" w:rsidR="0064171B" w:rsidRDefault="00641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567E" w14:textId="77777777" w:rsidR="00A605E8" w:rsidRDefault="00000000">
    <w:pPr>
      <w:pBdr>
        <w:bottom w:val="single" w:sz="4" w:space="4" w:color="D0D8E4"/>
      </w:pBdr>
      <w:tabs>
        <w:tab w:val="right" w:pos="9026"/>
      </w:tabs>
    </w:pPr>
    <w:r>
      <w:rPr>
        <w:color w:val="6B7280"/>
        <w:sz w:val="16"/>
        <w:szCs w:val="16"/>
      </w:rPr>
      <w:t>Proyecto PAC · Tesis de Maestría</w:t>
    </w:r>
    <w:r>
      <w:rPr>
        <w:sz w:val="16"/>
        <w:szCs w:val="16"/>
      </w:rPr>
      <w:tab/>
    </w:r>
    <w:r>
      <w:rPr>
        <w:color w:val="6B7280"/>
        <w:sz w:val="16"/>
        <w:szCs w:val="16"/>
      </w:rPr>
      <w:t>Capítulo 9 — Discusión  (v6)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353ED"/>
    <w:multiLevelType w:val="hybridMultilevel"/>
    <w:tmpl w:val="DB2A6CCA"/>
    <w:lvl w:ilvl="0" w:tplc="F984F970">
      <w:start w:val="1"/>
      <w:numFmt w:val="bullet"/>
      <w:lvlText w:val="●"/>
      <w:lvlJc w:val="left"/>
      <w:pPr>
        <w:ind w:left="720" w:hanging="360"/>
      </w:pPr>
    </w:lvl>
    <w:lvl w:ilvl="1" w:tplc="E51E7362">
      <w:start w:val="1"/>
      <w:numFmt w:val="bullet"/>
      <w:lvlText w:val="○"/>
      <w:lvlJc w:val="left"/>
      <w:pPr>
        <w:ind w:left="1440" w:hanging="360"/>
      </w:pPr>
    </w:lvl>
    <w:lvl w:ilvl="2" w:tplc="F154A4F4">
      <w:start w:val="1"/>
      <w:numFmt w:val="bullet"/>
      <w:lvlText w:val="■"/>
      <w:lvlJc w:val="left"/>
      <w:pPr>
        <w:ind w:left="2160" w:hanging="360"/>
      </w:pPr>
    </w:lvl>
    <w:lvl w:ilvl="3" w:tplc="CFBE5B90">
      <w:start w:val="1"/>
      <w:numFmt w:val="bullet"/>
      <w:lvlText w:val="●"/>
      <w:lvlJc w:val="left"/>
      <w:pPr>
        <w:ind w:left="2880" w:hanging="360"/>
      </w:pPr>
    </w:lvl>
    <w:lvl w:ilvl="4" w:tplc="1C8EC504">
      <w:start w:val="1"/>
      <w:numFmt w:val="bullet"/>
      <w:lvlText w:val="○"/>
      <w:lvlJc w:val="left"/>
      <w:pPr>
        <w:ind w:left="3600" w:hanging="360"/>
      </w:pPr>
    </w:lvl>
    <w:lvl w:ilvl="5" w:tplc="B0AAF864">
      <w:start w:val="1"/>
      <w:numFmt w:val="bullet"/>
      <w:lvlText w:val="■"/>
      <w:lvlJc w:val="left"/>
      <w:pPr>
        <w:ind w:left="4320" w:hanging="360"/>
      </w:pPr>
    </w:lvl>
    <w:lvl w:ilvl="6" w:tplc="AB7E8960">
      <w:start w:val="1"/>
      <w:numFmt w:val="bullet"/>
      <w:lvlText w:val="●"/>
      <w:lvlJc w:val="left"/>
      <w:pPr>
        <w:ind w:left="5040" w:hanging="360"/>
      </w:pPr>
    </w:lvl>
    <w:lvl w:ilvl="7" w:tplc="96DAB198">
      <w:start w:val="1"/>
      <w:numFmt w:val="bullet"/>
      <w:lvlText w:val="●"/>
      <w:lvlJc w:val="left"/>
      <w:pPr>
        <w:ind w:left="5760" w:hanging="360"/>
      </w:pPr>
    </w:lvl>
    <w:lvl w:ilvl="8" w:tplc="B4FE2378">
      <w:start w:val="1"/>
      <w:numFmt w:val="bullet"/>
      <w:lvlText w:val="●"/>
      <w:lvlJc w:val="left"/>
      <w:pPr>
        <w:ind w:left="6480" w:hanging="360"/>
      </w:pPr>
    </w:lvl>
  </w:abstractNum>
  <w:num w:numId="1" w16cid:durableId="424955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5E8"/>
    <w:rsid w:val="0064171B"/>
    <w:rsid w:val="00833978"/>
    <w:rsid w:val="00A605E8"/>
    <w:rsid w:val="00E544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4CE81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3632</Words>
  <Characters>21399</Characters>
  <Application>Microsoft Office Word</Application>
  <DocSecurity>0</DocSecurity>
  <Lines>301</Lines>
  <Paragraphs>71</Paragraphs>
  <ScaleCrop>false</ScaleCrop>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2026-06-06T21:17:00Z</dcterms:created>
  <dcterms:modified xsi:type="dcterms:W3CDTF">2026-06-06T21:26:00Z</dcterms:modified>
</cp:coreProperties>
</file>