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4531" w14:textId="77777777" w:rsidR="0035606E" w:rsidRDefault="00000000">
      <w:pPr>
        <w:spacing w:after="80"/>
      </w:pPr>
      <w:r>
        <w:rPr>
          <w:b/>
          <w:bCs/>
          <w:color w:val="6B7280"/>
          <w:sz w:val="20"/>
          <w:szCs w:val="20"/>
        </w:rPr>
        <w:t>CAPÍTULO 9</w:t>
      </w:r>
    </w:p>
    <w:p w14:paraId="40195047" w14:textId="77777777" w:rsidR="0035606E" w:rsidRDefault="00000000">
      <w:pPr>
        <w:spacing w:after="80"/>
      </w:pPr>
      <w:r>
        <w:rPr>
          <w:b/>
          <w:bCs/>
          <w:color w:val="1E3A5F"/>
          <w:sz w:val="36"/>
          <w:szCs w:val="36"/>
        </w:rPr>
        <w:t>Discusión</w:t>
      </w:r>
    </w:p>
    <w:p w14:paraId="262987B7" w14:textId="77777777" w:rsidR="0035606E" w:rsidRDefault="00000000">
      <w:pPr>
        <w:spacing w:after="280"/>
      </w:pPr>
      <w:r>
        <w:rPr>
          <w:color w:val="6B7280"/>
          <w:sz w:val="18"/>
          <w:szCs w:val="18"/>
        </w:rPr>
        <w:t>Versión 7  ·  Junio 2026</w:t>
      </w:r>
    </w:p>
    <w:p w14:paraId="22483BBE" w14:textId="77777777" w:rsidR="0035606E" w:rsidRDefault="00000000">
      <w:pPr>
        <w:spacing w:after="160" w:line="360" w:lineRule="auto"/>
        <w:jc w:val="both"/>
      </w:pPr>
      <w:r>
        <w:rPr>
          <w:sz w:val="24"/>
          <w:szCs w:val="24"/>
        </w:rPr>
        <w:t>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para otros, el Proyecto PAC es la primera fuente que los aborda a esta escala y con esta metodología.</w:t>
      </w:r>
    </w:p>
    <w:p w14:paraId="4828ADB5" w14:textId="77777777" w:rsidR="0035606E" w:rsidRDefault="00000000">
      <w:pPr>
        <w:pStyle w:val="Ttulo1"/>
        <w:spacing w:before="320" w:after="120"/>
      </w:pPr>
      <w:r>
        <w:rPr>
          <w:b/>
          <w:bCs/>
          <w:color w:val="1E3A5F"/>
          <w:sz w:val="26"/>
          <w:szCs w:val="26"/>
        </w:rPr>
        <w:t>9.1  Índices de evento e índices agregados nocturnos</w:t>
      </w:r>
    </w:p>
    <w:p w14:paraId="5B9CCFBF" w14:textId="77777777" w:rsidR="0035606E" w:rsidRDefault="00000000">
      <w:pPr>
        <w:spacing w:after="160" w:line="360" w:lineRule="auto"/>
        <w:jc w:val="both"/>
      </w:pPr>
      <w:r>
        <w:rPr>
          <w:sz w:val="24"/>
          <w:szCs w:val="24"/>
        </w:rPr>
        <w:t xml:space="preserve">El AHI es el índice de referencia del SAOS (Berry et al., 2012); el ODI3 es su subrogante oxiométrico con concordancia r &gt; 0,85 frente a PSG en el rango moderado-severo de esta cohorte (Masa et al., 2011). El pipeline adopta un umbral interno de ≥ 2 pp para la detección de EDOs —reservando el ODI3 para estratificación— porque el umbral clínico es una convención diagnóstica, no una frontera fisiológica: un evento de 2,5 pp tiene morfología y respuesta autonómica igualmente informativas que uno de 3,2 pp. El T90 y la carga hipóxica representan los intentos más exitosos de capturar la dimensión temporal de la hipoxemia que el ODI omite: Azarbarzin et al. (2019) demostraron que la carga hipóxica predice mortalidad cardiovascular independientemente del AHI en más de 7.000 pacientes. Sin embargo, siguen siendo índices agregados nocturnos que no capturan la morfología de los eventos individuales, su distribución temporal ni la respuesta autonómica que producen. El pipeline PAC_v3 no compite con ninguno de estos índices —los calcula, los usa como referencia y los valida— sino que añade la </w:t>
      </w:r>
      <w:r>
        <w:rPr>
          <w:sz w:val="24"/>
          <w:szCs w:val="24"/>
        </w:rPr>
        <w:lastRenderedPageBreak/>
        <w:t>dimensión estructural que suprimen: morfología de la curva SpO₂ a nivel de evento y organización dinámica temporal de la noche a nivel multiescala.</w:t>
      </w:r>
    </w:p>
    <w:p w14:paraId="29DAA7CF" w14:textId="77777777" w:rsidR="0035606E" w:rsidRDefault="00000000">
      <w:pPr>
        <w:pStyle w:val="Ttulo1"/>
        <w:spacing w:before="320" w:after="120"/>
      </w:pPr>
      <w:r>
        <w:rPr>
          <w:b/>
          <w:bCs/>
          <w:color w:val="1E3A5F"/>
          <w:sz w:val="26"/>
          <w:szCs w:val="26"/>
        </w:rPr>
        <w:t>9.2  Fenotipado morfológico de EDOs: morfotipos C1–C5 y el ARI en perspectiva</w:t>
      </w:r>
    </w:p>
    <w:p w14:paraId="4464665F" w14:textId="77777777" w:rsidR="0035606E" w:rsidRDefault="00000000">
      <w:pPr>
        <w:pStyle w:val="Ttulo2"/>
        <w:spacing w:before="240" w:after="100"/>
      </w:pPr>
      <w:r>
        <w:rPr>
          <w:b/>
          <w:bCs/>
          <w:color w:val="1E3A5F"/>
          <w:sz w:val="23"/>
          <w:szCs w:val="23"/>
        </w:rPr>
        <w:t>9.2.1  Los morfotipos de curvas SpO₂ frente a la literatura</w:t>
      </w:r>
    </w:p>
    <w:p w14:paraId="5AB830DD" w14:textId="77777777" w:rsidR="0035606E" w:rsidRDefault="00000000">
      <w:pPr>
        <w:spacing w:after="160" w:line="360" w:lineRule="auto"/>
        <w:jc w:val="both"/>
      </w:pPr>
      <w:r>
        <w:rPr>
          <w:sz w:val="24"/>
          <w:szCs w:val="24"/>
        </w:rPr>
        <w:t>El fenotipado morfológico de eventos individuales de desaturación mediante métodos no supervisados sobre la curva completa de SpO₂ no tiene precedente directo en la literatura a la escala del Proyecto PAC. Los trabajos más cercanos operan sobre índices agregados por noche o características univariadas —duración, profundidad— sin abordar la forma completa de la curva normalizada como objeto de clustering (Terrill, 2020). El enfoque es metodológicamente análogo al fenotipado no supervisado de señales ECG (Clifton et al., 2015), trasladado a un corpus de 84.248 eventos cuya escala no registra equivalente publicado (Biedebach et al., 2025). La estructura morfológica resultante es fisiológicamente coherente: PC1 captura la profundidad de la caída y organiza los morfotipos en un gradiente de severidad creciente; C4+C5 (6,1 % de los eventos) concentran una fracción desproporcionada de carga hipóxica acumulada; la estabilidad inter-noche moderada (ICC) es coherente con la consistencia de los mecanismos fisiopatológicos dominantes descrita por Eckert et al. (2013). La distribución del intervalo inter-evento (IEI mediana = 82 s; 62,8 % de pares &lt; 2 min) justifica además la elección del baseline móvil de 120 s: equilibrio entre absorber el efecto residual de la desaturación anterior y evitar inercia excesiva en pacientes con hipoxemia basal persistente.</w:t>
      </w:r>
    </w:p>
    <w:p w14:paraId="67376CC5" w14:textId="77777777" w:rsidR="0035606E" w:rsidRDefault="00000000">
      <w:pPr>
        <w:pStyle w:val="Ttulo2"/>
        <w:spacing w:before="240" w:after="100"/>
      </w:pPr>
      <w:r>
        <w:rPr>
          <w:b/>
          <w:bCs/>
          <w:color w:val="1E3A5F"/>
          <w:sz w:val="23"/>
          <w:szCs w:val="23"/>
        </w:rPr>
        <w:t>9.2.2  El ARI: una dimensión ortogonal a la severidad hipóxica</w:t>
      </w:r>
    </w:p>
    <w:p w14:paraId="54549D47" w14:textId="77777777" w:rsidR="0035606E" w:rsidRDefault="00000000">
      <w:pPr>
        <w:spacing w:after="160" w:line="360" w:lineRule="auto"/>
        <w:jc w:val="both"/>
      </w:pPr>
      <w:r>
        <w:rPr>
          <w:sz w:val="24"/>
          <w:szCs w:val="24"/>
        </w:rPr>
        <w:t xml:space="preserve">El ARI es la contribución metodológica más original del Proyecto PAC. La ortogonalidad con el ODI3 (ρ = 0,034; n = 85.277 EDOs) implica que la respuesta autonómica cardíaca y motora de un evento es estadísticamente independiente de su frecuencia nocturna, con coherencia fisiopatológica directa: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w:t>
      </w:r>
      <w:r>
        <w:rPr>
          <w:sz w:val="24"/>
          <w:szCs w:val="24"/>
        </w:rPr>
        <w:lastRenderedPageBreak/>
        <w:t>(0,423 ± 0,104), no el más alto— es contraintuitivo pero coherente con la adaptación del quimiorreceptor carotídeo ante exposición hipóxica crónica (Prabhakar, 2016;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14:paraId="4D229338" w14:textId="77777777" w:rsidR="0035606E" w:rsidRDefault="00000000">
      <w:pPr>
        <w:pStyle w:val="Ttulo1"/>
        <w:spacing w:before="320" w:after="120"/>
      </w:pPr>
      <w:r>
        <w:rPr>
          <w:b/>
          <w:bCs/>
          <w:color w:val="1E3A5F"/>
          <w:sz w:val="26"/>
          <w:szCs w:val="26"/>
        </w:rPr>
        <w:t>9.3  PAC States: la fisiología nocturna como sistema dinámico multiescala</w:t>
      </w:r>
    </w:p>
    <w:p w14:paraId="4276B0CC" w14:textId="77777777" w:rsidR="0035606E" w:rsidRDefault="00000000">
      <w:pPr>
        <w:pStyle w:val="Ttulo2"/>
        <w:spacing w:before="240" w:after="100"/>
      </w:pPr>
      <w:r>
        <w:rPr>
          <w:b/>
          <w:bCs/>
          <w:color w:val="1E3A5F"/>
          <w:sz w:val="23"/>
          <w:szCs w:val="23"/>
        </w:rPr>
        <w:t>9.3.1  Representación del sueño como secuencia de estados</w:t>
      </w:r>
    </w:p>
    <w:p w14:paraId="5E6959B3" w14:textId="77777777" w:rsidR="0035606E" w:rsidRDefault="00000000">
      <w:pPr>
        <w:spacing w:after="160" w:line="360" w:lineRule="auto"/>
        <w:jc w:val="both"/>
      </w:pPr>
      <w:r>
        <w:rPr>
          <w:sz w:val="24"/>
          <w:szCs w:val="24"/>
        </w:rPr>
        <w:t>La representación del sueño como secuencia de estados fisiológicos discretos tiene antecedentes en modelos de Markov ocultos sobre señales de EEG y señales cardíacas (Penzel et al., 2016; Goldberger et al., 2002). La innovación del sistema PAC States radica en tres aspectos: construcción sobre señales de oximetría portátil sin EEG ni PSG; arquitectura triescala simultánea (30 s, 5 min, 30 min); y la especialización funcional emergente —cada escala predice mejor una dimensión distinta de la severidad— que no fue impuesta por diseño sino que surgió del clustering sobre los datos. Los estados PAC no se mapean a los estadios AASM —definidos sobre actividad cortical— porque fueron construidos sobre un espacio de señales diferente con un objetivo diferente: capturar la regulación autonómica y respiratoria nocturna, una dimensión que la taxonomía cortical no resuelve y que el monitoreo domiciliario portátil puede proveer.</w:t>
      </w:r>
    </w:p>
    <w:p w14:paraId="0AA30ED5" w14:textId="77777777" w:rsidR="0035606E" w:rsidRDefault="00000000">
      <w:pPr>
        <w:pStyle w:val="Ttulo2"/>
        <w:spacing w:before="240" w:after="100"/>
      </w:pPr>
      <w:r>
        <w:rPr>
          <w:b/>
          <w:bCs/>
          <w:color w:val="1E3A5F"/>
          <w:sz w:val="23"/>
          <w:szCs w:val="23"/>
        </w:rPr>
        <w:t>9.3.2  Especialización funcional y variabilidad intraindividual</w:t>
      </w:r>
    </w:p>
    <w:p w14:paraId="2C7CBCF3" w14:textId="77777777" w:rsidR="0035606E" w:rsidRDefault="00000000">
      <w:pPr>
        <w:spacing w:after="160" w:line="360" w:lineRule="auto"/>
        <w:jc w:val="both"/>
      </w:pPr>
      <w:r>
        <w:rPr>
          <w:sz w:val="24"/>
          <w:szCs w:val="24"/>
        </w:rPr>
        <w:t xml:space="preserve">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El hallazgo más revelador es la ausencia de diferenciación del ARI entre los tres fenotipos nocturnos de severidad creciente (diferencia máxima &lt; 0,03): la reactividad es una propiedad estable del sistema cardiovascular del paciente que se expresa transversalmente a todo el perfil, no una función de la severidad nocturna. La variabilidad </w:t>
      </w:r>
      <w:r>
        <w:rPr>
          <w:sz w:val="24"/>
          <w:szCs w:val="24"/>
        </w:rPr>
        <w:lastRenderedPageBreak/>
        <w:t>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14:paraId="48697943" w14:textId="77777777" w:rsidR="0035606E" w:rsidRDefault="00000000">
      <w:pPr>
        <w:pStyle w:val="Ttulo1"/>
        <w:spacing w:before="320" w:after="120"/>
      </w:pPr>
      <w:r>
        <w:rPr>
          <w:b/>
          <w:bCs/>
          <w:color w:val="1E3A5F"/>
          <w:sz w:val="26"/>
          <w:szCs w:val="26"/>
        </w:rPr>
        <w:t>9.4  Acoplamiento morfotipo–estado: la estructura no aleatoria del riesgo nocturno</w:t>
      </w:r>
    </w:p>
    <w:p w14:paraId="115DE805" w14:textId="77777777" w:rsidR="0035606E" w:rsidRDefault="00000000">
      <w:pPr>
        <w:spacing w:after="160" w:line="360" w:lineRule="auto"/>
        <w:jc w:val="both"/>
      </w:pPr>
      <w:r>
        <w:rPr>
          <w:sz w:val="24"/>
          <w:szCs w:val="24"/>
        </w:rPr>
        <w:t>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14:paraId="5A9AB1C6" w14:textId="77777777" w:rsidR="0035606E" w:rsidRDefault="00000000">
      <w:pPr>
        <w:pStyle w:val="Ttulo1"/>
        <w:spacing w:before="320" w:after="120"/>
      </w:pPr>
      <w:r>
        <w:rPr>
          <w:b/>
          <w:bCs/>
          <w:color w:val="1E3A5F"/>
          <w:sz w:val="26"/>
          <w:szCs w:val="26"/>
        </w:rPr>
        <w:t>9.5  Los modelos de predicción frente a la literatura</w:t>
      </w:r>
    </w:p>
    <w:p w14:paraId="7BA2EE57" w14:textId="77777777" w:rsidR="0035606E" w:rsidRDefault="00000000">
      <w:pPr>
        <w:spacing w:after="160" w:line="360" w:lineRule="auto"/>
        <w:jc w:val="both"/>
      </w:pPr>
      <w:r>
        <w:rPr>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En la literatura de predicción sobre señales portátiles, el resultado es competitivo: Behar et al. (2019) reportan AUC de 0,75–0,82 para predicción de desaturaciones con oxímetro en ventanas de 5–10 min; Clifton et al. (2015) reportan AUC de 0,78–0,85 para deterioro clínico hospitalario en horizontes de 1–6 horas. La ventaja metodológica de NB08 es la validación LOPO-CV estricta, que previene la inflación del AUC por dependencia longitudinal —un problema frecuente en la literatura de ML en </w:t>
      </w:r>
      <w:r>
        <w:rPr>
          <w:sz w:val="24"/>
          <w:szCs w:val="24"/>
        </w:rPr>
        <w:lastRenderedPageBreak/>
        <w:t>señales biomédicas—. El que ci_sofar (historia acumulada del acoplamiento) ocupe el top-3 de importancia en todos los horizontes es, adicionalmente, una validación prospectiva de la estructura de acoplamiento descrita en §9.4: si el acoplamiento fuera un artefacto espurio del clustering, no debería predecir eventos futuros con la consistencia observada.</w:t>
      </w:r>
    </w:p>
    <w:p w14:paraId="349E71A6" w14:textId="77777777" w:rsidR="0035606E" w:rsidRDefault="00000000">
      <w:pPr>
        <w:spacing w:after="160" w:line="360" w:lineRule="auto"/>
        <w:jc w:val="both"/>
      </w:pPr>
      <w:r>
        <w:rPr>
          <w:sz w:val="24"/>
          <w:szCs w:val="24"/>
        </w:rPr>
        <w:t>El lead time de H = 5 min no es solo el horizonte de mejor AUC: es la condición algorítmica mínima para que una intervención adaptativa sea plausible. En el marco metodológico estándar de desarrollo de dispositivos médicos adaptativos, la cadena de validación distingue tres fases secuenciales —validación analítica (¿las representaciones contienen información predictiva?), validación de factibilidad (¿existe horizonte temporal suficiente para una intervención?) y validación clínica (¿actuar sobre esa predicción tiene efecto terapéutico?)—. El Proyecto PAC completa las dos primeras: las representaciones PAC contienen información predictiva prospectiva generalizable entre pacientes, y H = 5 min supera el margen de activación requerido por el estimulador transcutáneo del SOMNI 6000 —que necesita ser activado con al menos 90 segundos de anticipación (Clifton et al., 2015)— por un factor mayor a 3. La tercera fase, el ensayo clínico controlado, es trabajo futuro explícito cuyo diseño se articula en §9.7.</w:t>
      </w:r>
    </w:p>
    <w:p w14:paraId="3D7AB250" w14:textId="77777777" w:rsidR="0035606E" w:rsidRDefault="00000000">
      <w:pPr>
        <w:pStyle w:val="Ttulo1"/>
        <w:spacing w:before="320" w:after="120"/>
      </w:pPr>
      <w:r>
        <w:rPr>
          <w:b/>
          <w:bCs/>
          <w:color w:val="1E3A5F"/>
          <w:sz w:val="26"/>
          <w:szCs w:val="26"/>
        </w:rPr>
        <w:t>9.6  Oximetría domiciliaria como plataforma de fenotipado frente al PSG</w:t>
      </w:r>
    </w:p>
    <w:p w14:paraId="27178C11" w14:textId="77777777" w:rsidR="0035606E" w:rsidRDefault="00000000">
      <w:pPr>
        <w:spacing w:after="160" w:line="360" w:lineRule="auto"/>
        <w:jc w:val="both"/>
      </w:pPr>
      <w:r>
        <w:rPr>
          <w:sz w:val="24"/>
          <w:szCs w:val="24"/>
        </w:rPr>
        <w:t xml:space="preserve">La PSG registra SpO₂ de forma continua y podría, en principio, producir las mismas curvas morfológicas de evento que el SOMNI 6000. Lo que la PSG no fue diseñada para hacer —y que su protocolo de una sola noche en laboratorio no permite— es el análisis morfológico no supervisado sobre corpus de decenas de miles de eventos, ni la caracterización de la variabilidad dinámica intraindividual que requiere noches consecutivas en condiciones habituales. La ventaja analítica del pipeline PAC_v3 no reside en el tipo de sensor sino en el diseño longitudinal domiciliario: 553 noches de calidad de 12 pacientes generan un corpus cuya escala y representatividad ecológica no es reproducible en laboratorio. La afirmación central es que la oximetría portátil de un único sensor, adecuadamente procesada, puede producir representaciones fenotípicas —morfotipos de curva SpO₂, estados dinámicos multiescala, acoplamiento sobre 80.000 + eventos— que la PSG no produce habitualmente porque no fue diseñada para ese tipo </w:t>
      </w:r>
      <w:r>
        <w:rPr>
          <w:sz w:val="24"/>
          <w:szCs w:val="24"/>
        </w:rPr>
        <w:lastRenderedPageBreak/>
        <w:t>de análisis longitudinal. Esto no invalida a la PSG como gold standard diagnóstico. La pregunta empírica abierta —cuánta información adicional aportaría el EEG sobre los morfotipos y estados ya identificados— queda como trabajo futuro que requiere una cohorte con PSG simultánea.</w:t>
      </w:r>
    </w:p>
    <w:p w14:paraId="4D653C52" w14:textId="77777777" w:rsidR="0035606E" w:rsidRDefault="00000000">
      <w:pPr>
        <w:pStyle w:val="Ttulo1"/>
        <w:spacing w:before="320" w:after="120"/>
      </w:pPr>
      <w:r>
        <w:rPr>
          <w:b/>
          <w:bCs/>
          <w:color w:val="1E3A5F"/>
          <w:sz w:val="26"/>
          <w:szCs w:val="26"/>
        </w:rPr>
        <w:t>9.7  Hacia la terapéutica automática del SAOS severo: condición algorítmica y agenda clínica</w:t>
      </w:r>
    </w:p>
    <w:p w14:paraId="3FC7EEF4" w14:textId="77777777" w:rsidR="0035606E" w:rsidRDefault="00000000">
      <w:pPr>
        <w:spacing w:after="160" w:line="360" w:lineRule="auto"/>
        <w:jc w:val="both"/>
      </w:pPr>
      <w:r>
        <w:rPr>
          <w:sz w:val="24"/>
          <w:szCs w:val="24"/>
        </w:rPr>
        <w:t>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14:paraId="7426E652" w14:textId="77777777" w:rsidR="0035606E" w:rsidRDefault="00000000">
      <w:pPr>
        <w:spacing w:after="160" w:line="360" w:lineRule="auto"/>
        <w:jc w:val="both"/>
      </w:pPr>
      <w:r>
        <w:rPr>
          <w:b/>
          <w:bCs/>
          <w:sz w:val="24"/>
          <w:szCs w:val="24"/>
        </w:rPr>
        <w:t>La heterogeneidad inter-paciente como barrera principal.</w:t>
      </w:r>
      <w:r>
        <w:rPr>
          <w:sz w:val="24"/>
          <w:szCs w:val="24"/>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14:paraId="135ED645" w14:textId="77777777" w:rsidR="0035606E" w:rsidRDefault="00000000">
      <w:pPr>
        <w:spacing w:after="160" w:line="360" w:lineRule="auto"/>
        <w:jc w:val="both"/>
      </w:pPr>
      <w:r>
        <w:rPr>
          <w:b/>
          <w:bCs/>
          <w:sz w:val="24"/>
          <w:szCs w:val="24"/>
        </w:rPr>
        <w:lastRenderedPageBreak/>
        <w:t>La circularidad PAC y el requisito de validación externa.</w:t>
      </w:r>
      <w:r>
        <w:rPr>
          <w:sz w:val="24"/>
          <w:szCs w:val="24"/>
        </w:rPr>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14:paraId="384EDFEC" w14:textId="77777777" w:rsidR="0035606E" w:rsidRDefault="00000000">
      <w:pPr>
        <w:spacing w:after="160" w:line="360" w:lineRule="auto"/>
        <w:jc w:val="both"/>
      </w:pPr>
      <w:r>
        <w:rPr>
          <w:b/>
          <w:bCs/>
          <w:sz w:val="24"/>
          <w:szCs w:val="24"/>
        </w:rPr>
        <w:t>El diseño del ensayo clínico.</w:t>
      </w:r>
      <w:r>
        <w:rPr>
          <w:sz w:val="24"/>
          <w:szCs w:val="24"/>
        </w:rPr>
        <w:t xml:space="preserve"> Un ensayo controlado para evaluar la eficacia terapéutica de la estimulación basada en estado PAC requeriría, como mínimo: una cohorte de 30–50 pacientes con SAOS moderado-severo con PSG basal confirmatoria;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14:paraId="44F125D1" w14:textId="77777777" w:rsidR="0035606E" w:rsidRDefault="00000000">
      <w:pPr>
        <w:pStyle w:val="Ttulo1"/>
        <w:spacing w:before="320" w:after="120"/>
      </w:pPr>
      <w:r>
        <w:rPr>
          <w:b/>
          <w:bCs/>
          <w:color w:val="1E3A5F"/>
          <w:sz w:val="26"/>
          <w:szCs w:val="26"/>
        </w:rPr>
        <w:t>9.8  Limitaciones integradas del arco analítico</w:t>
      </w:r>
    </w:p>
    <w:p w14:paraId="7244AEE5" w14:textId="77777777" w:rsidR="0035606E" w:rsidRDefault="00000000">
      <w:pPr>
        <w:spacing w:after="160" w:line="360" w:lineRule="auto"/>
        <w:jc w:val="both"/>
      </w:pPr>
      <w:r>
        <w:rPr>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w:t>
      </w:r>
      <w:r>
        <w:rPr>
          <w:sz w:val="24"/>
          <w:szCs w:val="24"/>
        </w:rPr>
        <w:lastRenderedPageBreak/>
        <w:t>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14:paraId="4FF67D94" w14:textId="77777777" w:rsidR="0035606E" w:rsidRDefault="00000000">
      <w:pPr>
        <w:pStyle w:val="Ttulo1"/>
        <w:spacing w:before="320" w:after="120"/>
      </w:pPr>
      <w:r>
        <w:rPr>
          <w:b/>
          <w:bCs/>
          <w:color w:val="1E3A5F"/>
          <w:sz w:val="26"/>
          <w:szCs w:val="26"/>
        </w:rPr>
        <w:t>9.9  Síntesis: contribuciones principales</w:t>
      </w:r>
    </w:p>
    <w:p w14:paraId="3E3C704E" w14:textId="77777777" w:rsidR="0035606E" w:rsidRDefault="00000000">
      <w:pPr>
        <w:spacing w:after="160" w:line="360" w:lineRule="auto"/>
        <w:jc w:val="both"/>
      </w:pPr>
      <w:r>
        <w:rPr>
          <w:sz w:val="24"/>
          <w:szCs w:val="24"/>
        </w:rPr>
        <w:t>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tres contribuciones se sitúan con precisión: el fenotipado morfológico de 85.277 eventos mediante K-means sobre curvas PCA-reducidas no tiene precedente a esa escala en oximetría portátil; la cuantificación de la especialización funcional de los estados PAC multiescala amplía los resultados previos de análisis dinámico del sueño al mostrar que escalas distintas predicen dimensiones distintas de la severidad; y la predicción prospectiva (AUC = 0,821, H = 5 min, LOPO-CV estricto) establece la condición algorítmica mínima para una intervención terapéutica adaptativa. Si se replica en una cohorte externa y se valida en ensayo controlado, este último resultado podría tener impacto directo en el diseño de dispositivos de terapia adaptativa del SAOS.</w:t>
      </w:r>
    </w:p>
    <w:p w14:paraId="2FAD3C80" w14:textId="77777777" w:rsidR="0035606E" w:rsidRDefault="00000000">
      <w:pPr>
        <w:spacing w:after="160" w:line="360" w:lineRule="auto"/>
        <w:jc w:val="both"/>
      </w:pPr>
      <w:r>
        <w:rPr>
          <w:sz w:val="24"/>
          <w:szCs w:val="24"/>
        </w:rPr>
        <w:t>Continúa en Capítulo 10 — Conclusiones</w:t>
      </w:r>
    </w:p>
    <w:sectPr w:rsidR="0035606E" w:rsidSect="00805E0C">
      <w:headerReference w:type="default" r:id="rId7"/>
      <w:footerReference w:type="default" r:id="rId8"/>
      <w:pgSz w:w="11906" w:h="16838"/>
      <w:pgMar w:top="1658" w:right="1000" w:bottom="1428"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8D0D2" w14:textId="77777777" w:rsidR="00CC4736" w:rsidRDefault="00CC4736">
      <w:r>
        <w:separator/>
      </w:r>
    </w:p>
  </w:endnote>
  <w:endnote w:type="continuationSeparator" w:id="0">
    <w:p w14:paraId="38932A47" w14:textId="77777777" w:rsidR="00CC4736" w:rsidRDefault="00CC4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6061" w14:textId="77777777" w:rsidR="0035606E" w:rsidRDefault="00000000">
    <w:pPr>
      <w:pBdr>
        <w:top w:val="single" w:sz="4" w:space="4" w:color="D0D8E4"/>
      </w:pBdr>
      <w:jc w:val="right"/>
    </w:pPr>
    <w:r>
      <w:rPr>
        <w:color w:val="6B7280"/>
        <w:sz w:val="16"/>
        <w:szCs w:val="16"/>
      </w:rPr>
      <w:t xml:space="preserve">Roberto Inza · Universidad Austral · 2026   </w:t>
    </w:r>
    <w:r>
      <w:rPr>
        <w:color w:val="6B7280"/>
        <w:sz w:val="16"/>
        <w:szCs w:val="16"/>
      </w:rPr>
      <w:fldChar w:fldCharType="begin"/>
    </w:r>
    <w:r>
      <w:rPr>
        <w:color w:val="6B7280"/>
        <w:sz w:val="16"/>
        <w:szCs w:val="16"/>
      </w:rPr>
      <w:instrText>PAGE</w:instrText>
    </w:r>
    <w:r>
      <w:rPr>
        <w:color w:val="6B7280"/>
        <w:sz w:val="16"/>
        <w:szCs w:val="16"/>
      </w:rPr>
      <w:fldChar w:fldCharType="separate"/>
    </w:r>
    <w:r w:rsidR="00805E0C">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4AD90" w14:textId="77777777" w:rsidR="00CC4736" w:rsidRDefault="00CC4736">
      <w:r>
        <w:separator/>
      </w:r>
    </w:p>
  </w:footnote>
  <w:footnote w:type="continuationSeparator" w:id="0">
    <w:p w14:paraId="2FA837A1" w14:textId="77777777" w:rsidR="00CC4736" w:rsidRDefault="00CC4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A57C" w14:textId="77777777" w:rsidR="0035606E" w:rsidRDefault="00000000">
    <w:pPr>
      <w:pBdr>
        <w:bottom w:val="single" w:sz="4" w:space="4" w:color="D0D8E4"/>
      </w:pBdr>
      <w:tabs>
        <w:tab w:val="right" w:pos="9026"/>
      </w:tabs>
    </w:pPr>
    <w:r>
      <w:rPr>
        <w:color w:val="6B7280"/>
        <w:sz w:val="16"/>
        <w:szCs w:val="16"/>
      </w:rPr>
      <w:t>Proyecto PAC · Tesis de Maestría</w:t>
    </w:r>
    <w:r>
      <w:rPr>
        <w:sz w:val="16"/>
        <w:szCs w:val="16"/>
      </w:rPr>
      <w:tab/>
    </w:r>
    <w:r>
      <w:rPr>
        <w:color w:val="6B7280"/>
        <w:sz w:val="16"/>
        <w:szCs w:val="16"/>
      </w:rPr>
      <w:t>Capítulo 9 — Discusión  (v7)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07ECF"/>
    <w:multiLevelType w:val="hybridMultilevel"/>
    <w:tmpl w:val="3E1AE8C0"/>
    <w:lvl w:ilvl="0" w:tplc="956E3748">
      <w:start w:val="1"/>
      <w:numFmt w:val="bullet"/>
      <w:lvlText w:val="●"/>
      <w:lvlJc w:val="left"/>
      <w:pPr>
        <w:ind w:left="720" w:hanging="360"/>
      </w:pPr>
    </w:lvl>
    <w:lvl w:ilvl="1" w:tplc="19320C1E">
      <w:start w:val="1"/>
      <w:numFmt w:val="bullet"/>
      <w:lvlText w:val="○"/>
      <w:lvlJc w:val="left"/>
      <w:pPr>
        <w:ind w:left="1440" w:hanging="360"/>
      </w:pPr>
    </w:lvl>
    <w:lvl w:ilvl="2" w:tplc="483A4AE6">
      <w:start w:val="1"/>
      <w:numFmt w:val="bullet"/>
      <w:lvlText w:val="■"/>
      <w:lvlJc w:val="left"/>
      <w:pPr>
        <w:ind w:left="2160" w:hanging="360"/>
      </w:pPr>
    </w:lvl>
    <w:lvl w:ilvl="3" w:tplc="BC685AC6">
      <w:start w:val="1"/>
      <w:numFmt w:val="bullet"/>
      <w:lvlText w:val="●"/>
      <w:lvlJc w:val="left"/>
      <w:pPr>
        <w:ind w:left="2880" w:hanging="360"/>
      </w:pPr>
    </w:lvl>
    <w:lvl w:ilvl="4" w:tplc="CC2C66FA">
      <w:start w:val="1"/>
      <w:numFmt w:val="bullet"/>
      <w:lvlText w:val="○"/>
      <w:lvlJc w:val="left"/>
      <w:pPr>
        <w:ind w:left="3600" w:hanging="360"/>
      </w:pPr>
    </w:lvl>
    <w:lvl w:ilvl="5" w:tplc="EEC6D950">
      <w:start w:val="1"/>
      <w:numFmt w:val="bullet"/>
      <w:lvlText w:val="■"/>
      <w:lvlJc w:val="left"/>
      <w:pPr>
        <w:ind w:left="4320" w:hanging="360"/>
      </w:pPr>
    </w:lvl>
    <w:lvl w:ilvl="6" w:tplc="4D1A6478">
      <w:start w:val="1"/>
      <w:numFmt w:val="bullet"/>
      <w:lvlText w:val="●"/>
      <w:lvlJc w:val="left"/>
      <w:pPr>
        <w:ind w:left="5040" w:hanging="360"/>
      </w:pPr>
    </w:lvl>
    <w:lvl w:ilvl="7" w:tplc="C966C9CA">
      <w:start w:val="1"/>
      <w:numFmt w:val="bullet"/>
      <w:lvlText w:val="●"/>
      <w:lvlJc w:val="left"/>
      <w:pPr>
        <w:ind w:left="5760" w:hanging="360"/>
      </w:pPr>
    </w:lvl>
    <w:lvl w:ilvl="8" w:tplc="C90C88AA">
      <w:start w:val="1"/>
      <w:numFmt w:val="bullet"/>
      <w:lvlText w:val="●"/>
      <w:lvlJc w:val="left"/>
      <w:pPr>
        <w:ind w:left="6480" w:hanging="360"/>
      </w:pPr>
    </w:lvl>
  </w:abstractNum>
  <w:num w:numId="1" w16cid:durableId="239414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06E"/>
    <w:rsid w:val="0035606E"/>
    <w:rsid w:val="00805E0C"/>
    <w:rsid w:val="00833978"/>
    <w:rsid w:val="00CC47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307CB6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2814</Words>
  <Characters>15933</Characters>
  <Application>Microsoft Office Word</Application>
  <DocSecurity>0</DocSecurity>
  <Lines>237</Lines>
  <Paragraphs>38</Paragraphs>
  <ScaleCrop>false</ScaleCrop>
  <Company/>
  <LinksUpToDate>false</LinksUpToDate>
  <CharactersWithSpaces>18709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2026-06-06T22:01:00Z</dcterms:created>
  <dcterms:modified xsi:type="dcterms:W3CDTF">2026-06-06T22:03:00Z</dcterms:modified>
</cp:coreProperties>
</file>