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280" w:before="0"/>
      </w:pPr>
      <w:r>
        <w:rPr>
          <w:rFonts w:ascii="Aptos" w:cs="Aptos" w:eastAsia="Aptos" w:hAnsi="Aptos"/>
          <w:color w:val="6B7280"/>
          <w:sz w:val="18"/>
          <w:szCs w:val="18"/>
        </w:rPr>
        <w:t xml:space="preserve">Versión 8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 La decisión de adoptar un umbral interno de ≥ 2 pp para la detección de EDOs —reservando el ODI3 para estratificación de severidad— responde a que el umbral clínico es una convención diagnóstica, no una frontera fisiológica: un evento de 2,5 pp tiene morfología y respuesta autonómica igualmente informativas que uno de 3,2 pp (Álvarez et al., 2022).</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000" w:right="1000" w:bottom="10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2026-06-06T22:24:32.311Z</dcterms:created>
  <dcterms:modified xsi:type="dcterms:W3CDTF">2026-06-06T22:24:32.312Z</dcterms:modified>
</cp:coreProperties>
</file>

<file path=docProps/custom.xml><?xml version="1.0" encoding="utf-8"?>
<Properties xmlns="http://schemas.openxmlformats.org/officeDocument/2006/custom-properties" xmlns:vt="http://schemas.openxmlformats.org/officeDocument/2006/docPropsVTypes"/>
</file>