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El Capítulo 8 cerró el arco analítico del Proyecto APNEA con una afirmación precisa: el estado fisiológico del sistema en el momento T transporta información predictiva suficiente sobre lo que ocurrirá en T + 5 min, con AUC = 0,821 ± 0,022 y consistencia entre los ocho pacientes de la cohorte. Lo que ese resultado establece —y lo que deliberadamente deja abierto— delimita el territorio que corresponde explorar en el presente capítulo.</w:t>
      </w:r>
    </w:p>
    <w:p>
      <w:pPr>
        <w:spacing w:after="160" w:line="276"/>
        <w:jc w:val="both"/>
      </w:pPr>
      <w:r>
        <w:rPr>
          <w:rFonts w:ascii="Arial" w:cs="Arial" w:eastAsia="Arial" w:hAnsi="Arial"/>
        </w:rPr>
        <w:t xml:space="preserve">La Discusión no repite los hallazgos de los capítulos de resultados ni suma un nuevo análisis. Su función es diferente: poner el arco completo del Proyecto APNEA —desde la caracterización morfológica de los eventos individuales (Cap04) hasta la predicción prospectiva con horizonte terapéutico (Cap08)— en diálogo con la literatura existente en fenotipado del síndrome de apneas obstructivas del sueño (SAOS), oximetría domiciliaria, modelos dinámicos de señales fisiológicas y sistemas de intervención adaptativa. Ese diálogo permite evaluar la originalidad de las contribuciones, identificar sus límites de validez y articular la agenda de validación necesaria para que la propuesta avance desde la factibilidad analítica hasta la aplicación clínica.</w:t>
      </w:r>
    </w:p>
    <w:p>
      <w:pPr>
        <w:spacing w:after="160" w:line="276"/>
        <w:jc w:val="both"/>
      </w:pPr>
      <w:r>
        <w:rPr>
          <w:rFonts w:ascii="Arial" w:cs="Arial" w:eastAsia="Arial" w:hAnsi="Arial"/>
        </w:rPr>
        <w:t xml:space="preserve">El eje narrativo que organiza el capítulo sigue la cadena conceptual del proyecto: EDO → Estados → Acople → Fenotipia de eventos y noches → Predicción para terapéutica automática. Cada eslabón de esa cadena se discute en relación con los antecedentes de la literatura, los hallazgos propios y las limitaciones que condicionan su interpretación.</w:t>
      </w:r>
    </w:p>
    <w:p>
      <w:pPr>
        <w:pStyle w:val="Heading1"/>
        <w:pBdr>
          <w:bottom w:val="single" w:color="D0D8E4" w:sz="4" w:space="4"/>
        </w:pBdr>
        <w:spacing w:after="160" w:before="320"/>
      </w:pPr>
      <w:r>
        <w:rPr>
          <w:rFonts w:ascii="Arial" w:cs="Arial" w:eastAsia="Arial" w:hAnsi="Arial"/>
          <w:b/>
          <w:bCs/>
          <w:color w:val="1E3A5F"/>
          <w:sz w:val="28"/>
          <w:szCs w:val="28"/>
        </w:rPr>
        <w:t xml:space="preserve">9.1  El AHI como constructo unidimensional: herencia y limitaciones</w:t>
      </w:r>
    </w:p>
    <w:p>
      <w:pPr>
        <w:spacing w:after="160" w:line="276"/>
        <w:jc w:val="both"/>
      </w:pPr>
      <w:r>
        <w:rPr>
          <w:rFonts w:ascii="Arial" w:cs="Arial" w:eastAsia="Arial" w:hAnsi="Arial"/>
        </w:rPr>
        <w:t xml:space="preserve">El Índice Apnea–Hipopnea (AHI) ha sido, durante más de cuatro décadas, el marcador operacional dominante del SAOS: define el diagnóstico, estratifica la severidad y orienta las decisiones terapéuticas en la práctica clínica global. Su fortaleza reside en la estandarización —los criterios AASM (Berry et al., 2012) permiten comparar estudios y cohortes— y en su respaldo como predictor de riesgo cardiovascular en estudios de largo plazo (Lévy et al., 2015).</w:t>
      </w:r>
    </w:p>
    <w:p>
      <w:pPr>
        <w:spacing w:after="160" w:line="276"/>
        <w:jc w:val="both"/>
      </w:pPr>
      <w:r>
        <w:rPr>
          <w:rFonts w:ascii="Arial" w:cs="Arial" w:eastAsia="Arial" w:hAnsi="Arial"/>
        </w:rPr>
        <w:t xml:space="preserve">Sin embargo, la literatura acumula desde hace más de dos décadas una crítica sostenida a la suficiencia del AHI como descriptor único de la fisiopatología nocturna. El núcleo del argumento es su carácter unidimensional: el AHI contabiliza frecuencia pero no cuantifica la profundidad de los episodios hipóxicos, su distribución temporal, la respuesta autonómica que generan ni la arquitectura global de la noche. Dos pacientes con AHI = 30 pueden presentar perfiles fisiológicos radicalmente distintos —uno con caídas breves y frecuentes de SpO₂, otro con episodios prolongados y severos— y recibir el mismo diagnóstico y la misma recomendación terapéutica. Esta limitación ha impulsado la investigación en métricas alternativas y complementarias.</w:t>
      </w:r>
    </w:p>
    <w:p>
      <w:pPr>
        <w:spacing w:after="160" w:line="276"/>
        <w:jc w:val="both"/>
      </w:pPr>
      <w:r>
        <w:rPr>
          <w:rFonts w:ascii="Arial" w:cs="Arial" w:eastAsia="Arial" w:hAnsi="Arial"/>
        </w:rPr>
        <w:t xml:space="preserve">El T90 —fracción del tiempo de sueño con SpO₂ &lt; 90 %— y la carga hipóxica (hypoxic burden), definida como el área bajo la curva de SpO₂ durante los eventos respiratorios, capturan la dimensión temporal e integrada de la hipoxemia que el AHI omite. Azarbarzin et al. (2019) demostraron que la carga hipóxica predice mortalidad cardiovascular independientemente del AHI en dos cohortes epidemiológicas de gran escala (MrOS Sleep Study y SHHS), un resultado que cuestiona la primacía del AHI como marcador pronóstico de referencia. En la misma línea, Sands et al. (2021) proponen descomponer el fenotipo del SAOS en cuatro rasgos fisiopatológicos independientes —ganancia del quimiorreceptor (loop gain), umbral de arousal, respuesta muscular de la vía aérea superior y capacidad de compensación postural— cada uno de los cuales puede variar de forma relativamente independiente del AHI. Esta descomposición sugiere que el SAOS no es una entidad nosológica homogénea sino un síndrome con múltiples subtipos fisiopatológicos cuya caracterización requiere instrumentos más ricos que un índice escalar de frecuencia.</w:t>
      </w:r>
    </w:p>
    <w:p>
      <w:pPr>
        <w:spacing w:after="160" w:line="276"/>
        <w:jc w:val="both"/>
      </w:pPr>
      <w:r>
        <w:rPr>
          <w:rFonts w:ascii="Arial" w:cs="Arial" w:eastAsia="Arial" w:hAnsi="Arial"/>
        </w:rPr>
        <w:t xml:space="preserve">El Proyecto APNEA nace precisamente de esta tensión. El pipeline PAC_v3 no busca reemplazar al AHI —cuya disponibilidad requiere PSG completa— sino enriquecerlo con representaciones de mayor granularidad construidas sobre oximetría domiciliaria de un único sensor. El ODI3 (Oxygen Desaturation Index con umbral del 3 %) opera como subrogante del AHI a lo largo de toda la tesis, con la ventaja de ser obtenible sin infraestructura hospitalaria ni técnico especializado. Lo que PAC añade sobre el ODI3 es la estructura: morfotipos de curvas, estados dinámicos, acoplamiento entre ambos y capacidad predictiva prospectiva.</w:t>
      </w:r>
    </w:p>
    <w:p>
      <w:pPr>
        <w:pStyle w:val="Heading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Heading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de SpO₂ no tiene precedente directo en la literatura a la escala que el Proyecto APNEA propone. Los trabajos más cercanos operan sobre índices agregados por noche (T90, ODI) o sobre características univariadas de los eventos (duración, profundidad), pero no sobre la forma completa de la curva normalizada como objeto de clustering. El enfoque adoptado en el Cap04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pPr>
        <w:spacing w:after="160" w:line="276"/>
        <w:jc w:val="both"/>
      </w:pPr>
      <w:r>
        <w:rPr>
          <w:rFonts w:ascii="Arial" w:cs="Arial" w:eastAsia="Arial" w:hAnsi="Arial"/>
        </w:rP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pPr>
        <w:pStyle w:val="Heading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Cap04.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consistente con la literatura sobre atenuación de la respuesta simpática en hipoxemia intermitente crónica (Patel et al., 2019), aunque la relación causal no puede establecerse con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Este nivel de estabilidad —comparable al del ODI3, que la literatura establece requiere aproximadamente 7 noches para estimaciones confiables (Masa et al., 2011)— posiciona al ARI como candidato para su integración en protocolos de caracterización domiciliaria de corto plazo.</w:t>
      </w:r>
    </w:p>
    <w:p>
      <w:pPr>
        <w:pStyle w:val="Heading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Heading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pPr>
        <w:pStyle w:val="Heading2"/>
        <w:spacing w:after="120" w:before="240"/>
      </w:pPr>
      <w:r>
        <w:rPr>
          <w:rFonts w:ascii="Arial" w:cs="Arial" w:eastAsia="Arial" w:hAnsi="Arial"/>
          <w:b/>
          <w:bCs/>
          <w:color w:val="1E3A5F"/>
          <w:sz w:val="24"/>
          <w:szCs w:val="24"/>
        </w:rPr>
        <w:t xml:space="preserve">9.3.2  Especialización funcional: el hallazgo central del Cap05</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Cap05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pPr>
        <w:pStyle w:val="Heading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APNEA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análisis de trayectorias nocturnas (K = 3, NB05 §6) 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pPr>
        <w:pStyle w:val="Heading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El acoplamiento entre el estado fisiológico activo y la morfología del evento que ocurre en él es el concepto articulador del Cap06.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w:t>
      </w:r>
    </w:p>
    <w:p>
      <w:pPr>
        <w:spacing w:after="160" w:line="276"/>
        <w:jc w:val="both"/>
      </w:pPr>
      <w:r>
        <w:rPr>
          <w:rFonts w:ascii="Arial" w:cs="Arial" w:eastAsia="Arial" w:hAnsi="Arial"/>
        </w:rPr>
        <w:t xml:space="preserve">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pPr>
        <w:pStyle w:val="Heading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NB07 y NB08 frente a la literatura</w:t>
      </w:r>
    </w:p>
    <w:p>
      <w:pPr>
        <w:pStyle w:val="Heading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Los módulos NB07 y NB08 representan dos preguntas analíticamente distintas. NB07 pregunta: dado que un evento está ocurriendo ahora, ¿cuál es su morfotipo probable y el riesgo nocturno acumulado? NB08 pregunta: dado el estado fisiológico ahora, ¿habrá un evento severo en los próximos H minutos? La distinción no es solo técnica: implica que NB08 opera sin señal de evento en curso, lo que lo hace más difícil (AUC 8 puntos menor que NB07) pero también más útil clínicamente, porque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 NB08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pPr>
        <w:pStyle w:val="Heading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Un resultado interpretativo relevante de NB08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por NB08 es sorprendentemente plano a lo largo de los deciles de la noche, lo que sugiere que window_position opera más como covariable de contexto que como predictor de un pico temporal sistemático.</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en el Cap06: si el acoplamiento fuera un artefacto espurio del clustering, no debería predecir eventos futuros con la consistencia observada.</w:t>
      </w:r>
    </w:p>
    <w:p>
      <w:pPr>
        <w:pStyle w:val="Heading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concepto de condición algorítmica mínima para la intervención adaptativa es central a la interpretación de NB08.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pPr>
        <w:pStyle w:val="Heading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pPr>
        <w:spacing w:after="160" w:line="276"/>
        <w:jc w:val="both"/>
      </w:pPr>
      <w:r>
        <w:rPr>
          <w:rFonts w:ascii="Arial" w:cs="Arial" w:eastAsia="Arial" w:hAnsi="Arial"/>
        </w:rPr>
        <w:t xml:space="preserve">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pPr>
        <w:pStyle w:val="Heading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Heading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El Proyecto APNEA establece, sobre una cohorte de 12 pacientes (8 en los módulos supervisados) y 553 noches de calidad, las siguientes proposiciones analíticas: (a) los eventos de desaturación de oxígeno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pPr>
        <w:spacing w:after="160" w:line="276"/>
        <w:jc w:val="both"/>
      </w:pPr>
      <w:r>
        <w:rPr>
          <w:rFonts w:ascii="Arial" w:cs="Arial" w:eastAsia="Arial" w:hAnsi="Arial"/>
        </w:rPr>
        <w:t xml:space="preserve">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pPr>
        <w:pStyle w:val="Heading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resultado que más claramente condiciona la traslación clínica de NB08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pPr>
        <w:spacing w:after="160" w:line="276"/>
        <w:jc w:val="both"/>
      </w:pPr>
      <w:r>
        <w:rPr>
          <w:rFonts w:ascii="Arial" w:cs="Arial" w:eastAsia="Arial" w:hAnsi="Arial"/>
        </w:rPr>
        <w:t xml:space="preserve">La paradoja del Pac 314 —el paciente de menor prevalencia del corpus exhibe el AUC más alto (0,87–0,84 en todos los horizontes)— es reveladora en este contexto: la capacidad 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pPr>
        <w:pStyle w:val="Heading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pPr>
        <w:spacing w:after="160" w:line="276"/>
        <w:jc w:val="both"/>
      </w:pPr>
      <w:r>
        <w:rPr>
          <w:rFonts w:ascii="Arial" w:cs="Arial" w:eastAsia="Arial" w:hAnsi="Arial"/>
        </w:rPr>
        <w:t xml:space="preserve">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pPr>
        <w:pStyle w:val="Heading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pPr>
        <w:pStyle w:val="Heading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APNEA han sido discutidas en cada capítulo de resultados; el presente capítulo las articula como un conjunto coherente para identificar su impacto combinado sobre la interpretación de las contribuciones.</w:t>
      </w:r>
    </w:p>
    <w:p>
      <w:pPr>
        <w:spacing w:after="160" w:line="276"/>
        <w:jc w:val="both"/>
      </w:pPr>
      <w:r>
        <w:rPr>
          <w:rFonts w:ascii="Arial" w:cs="Arial" w:eastAsia="Arial" w:hAnsi="Arial"/>
          <w:b/>
          <w:bCs/>
        </w:rPr>
        <w:t xml:space="preserve">Tamaño muestral. </w:t>
      </w:r>
      <w:r>
        <w:rPr>
          <w:rFonts w:ascii="Arial" w:cs="Arial" w:eastAsia="Arial" w:hAnsi="Arial"/>
        </w:rPr>
        <w:t xml:space="preserve">La cohorte comprende 12 pacientes en los análisis descriptivos y 8 en los módulos supervisados. Para análisis no supervisados sobre el corpus de 85.277 eventos, el n es estadísticamente robusto; para los modelos supervisados validados con LOPO-CV, el n efectivo es 8 pacientes —cada fold entrena sobre 7. La consistencia del AUC entre folds (SD &lt; 3 puntos en NB07 y NB08)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pPr>
        <w:spacing w:after="160" w:line="276"/>
        <w:jc w:val="both"/>
      </w:pPr>
      <w:r>
        <w:rPr>
          <w:rFonts w:ascii="Arial" w:cs="Arial" w:eastAsia="Arial" w:hAnsi="Arial"/>
          <w:b/>
          <w:bCs/>
        </w:rPr>
        <w:t xml:space="preserve">Sesgo de selección. </w:t>
      </w:r>
      <w:r>
        <w:rPr>
          <w:rFonts w:ascii="Arial" w:cs="Arial" w:eastAsia="Arial" w:hAnsi="Arial"/>
        </w:rPr>
        <w:t xml:space="preserve">La cohorte PAC_v2 proviene de una práctica médica privada especializada en trastornos respiratorios del sueño, lo que introduce un sesgo clínico conocido: sobrerepresentación de pacientes con SAOS moderado-severo y relativa exclusión de SAOS leve y controles sin diagnóstico. Los modelos entrenados sobre esta cohorte podrían tener un rendimiento distinto en una cohorte de tamizaje poblacional, donde la prevalencia de eventos severos sería menor y la heterogeneidad de los fenotipos, mayor.</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de NB07 y NB08 producen probabilidades pobremente calibradas en términos absolutos —sobreestimación de ~4× para NB08—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eficacia terapéutica debe mantenerse explícita en cualquier comunicación de estos resultados.</w:t>
      </w:r>
    </w:p>
    <w:p>
      <w:pPr>
        <w:pStyle w:val="Heading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(NB08), y el fenotipo de trayectoria nocturna predice el riesgo de noche de alta carga hipóxica (NB07 Bloque C).</w:t>
      </w:r>
    </w:p>
    <w:p>
      <w:pPr>
        <w:spacing w:after="160" w:line="276"/>
        <w:jc w:val="both"/>
      </w:pPr>
      <w:r>
        <w:rPr>
          <w:rFonts w:ascii="Arial" w:cs="Arial" w:eastAsia="Arial" w:hAnsi="Arial"/>
        </w:rPr>
        <w:t xml:space="preserve">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pPr>
        <w:spacing w:after="100" w:before="280"/>
      </w:pPr>
      <w:r>
        <w:rPr>
          <w:rFonts w:ascii="Arial" w:cs="Arial" w:eastAsia="Arial" w:hAnsi="Arial"/>
          <w:b/>
          <w:bCs/>
          <w:color w:val="1E3A5F"/>
        </w:rPr>
        <w:t xml:space="preserve">Bridge al Capítulo 10 — Conclusiones</w:t>
      </w:r>
    </w:p>
    <w:p>
      <w:pPr>
        <w:spacing w:after="160" w:line="276"/>
        <w:jc w:val="both"/>
      </w:pPr>
      <w:r>
        <w:rPr>
          <w:rFonts w:ascii="Arial" w:cs="Arial" w:eastAsia="Arial" w:hAnsi="Arial"/>
        </w:rPr>
        <w:t xml:space="preserve">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r>
        <w:br w:type="page"/>
      </w:r>
    </w:p>
    <w:p>
      <w:pPr>
        <w:pStyle w:val="Heading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Wasserstein, R. L., &amp; Lazar, N. A. (2016). The ASA statement on p-values: context, process, and purpose. The American Statistician, 70(2), 129–133. https://doi.org/10.1080/00031305.2016.1154108</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space="4"/>
      </w:pBdr>
      <w:tabs>
        <w:tab w:val="right" w:pos="9026"/>
      </w:tabs>
      <w:spacing w:before="60"/>
      <w:jc w:val="right"/>
    </w:pPr>
    <w:r>
      <w:rPr>
        <w:rFonts w:ascii="Arial" w:cs="Arial" w:eastAsia="Arial" w:hAnsi="Arial"/>
        <w:color w:val="6B7280"/>
        <w:sz w:val="16"/>
        <w:szCs w:val="16"/>
      </w:rPr>
      <w:t xml:space="preserve">Roberto Inza · Universidad Austral · 2026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space="4"/>
      </w:pBdr>
      <w:tabs>
        <w:tab w:val="right" w:pos="9026"/>
      </w:tabs>
      <w:spacing w:after="60"/>
    </w:pPr>
    <w:r>
      <w:rPr>
        <w:rFonts w:ascii="Arial" w:cs="Arial" w:eastAsia="Arial" w:hAnsi="Arial"/>
        <w:color w:val="6B7280"/>
        <w:sz w:val="16"/>
        <w:szCs w:val="16"/>
      </w:rPr>
      <w:t xml:space="preserve">Proyecto APNEA · Tesis de Maestría</w:t>
    </w:r>
    <w:r>
      <w:rPr>
        <w:rFonts w:ascii="Arial" w:cs="Arial" w:eastAsia="Arial" w:hAnsi="Arial"/>
        <w:sz w:val="16"/>
        <w:szCs w:val="16"/>
      </w:rPr>
      <w:t xml:space="preserve">	</w:t>
    </w:r>
    <w:r>
      <w:rPr>
        <w:rFonts w:ascii="Arial" w:cs="Arial" w:eastAsia="Arial" w:hAnsi="Arial"/>
        <w:i/>
        <w:iCs/>
        <w:color w:val="6B7280"/>
        <w:sz w:val="16"/>
        <w:szCs w:val="16"/>
      </w:rPr>
      <w:t xml:space="preserve">Capítulo 9 — Discusión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E3A5F"/>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2026-05-28T10:08:22.427Z</dcterms:created>
  <dcterms:modified xsi:type="dcterms:W3CDTF">2026-05-28T10:08:22.428Z</dcterms:modified>
</cp:coreProperties>
</file>

<file path=docProps/custom.xml><?xml version="1.0" encoding="utf-8"?>
<Properties xmlns="http://schemas.openxmlformats.org/officeDocument/2006/custom-properties" xmlns:vt="http://schemas.openxmlformats.org/officeDocument/2006/docPropsVTypes"/>
</file>