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12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Heading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0,354 en escala S, 0,230 en M, 0,196 en L; NB05, 80.353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80.000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La discusión sobre el posicionamiento de la oximetría domiciliaria frente a la PSG quedó establecida en el marco teórico: el monitoreo domiciliario no reemplaza a la PSG para el diagnóstico integral del SAOS, sino que habilita un enfoque complementario orientado al análisis longitudinal en condiciones reales. Lo que los resultados del Proyecto PAC permiten añadir a ese posicionamiento es una afirmación más precisa sobre qué dimensiones la oximetría domiciliaria puede y no puede abordar.</w:t>
      </w:r>
    </w:p>
    <w:p>
      <w:pPr>
        <w:spacing w:after="160" w:line="276"/>
        <w:jc w:val="both"/>
      </w:pPr>
      <w:r>
        <w:rPr>
          <w:rFonts w:ascii="Arial" w:cs="Arial" w:eastAsia="Arial" w:hAnsi="Arial"/>
        </w:rPr>
        <w:t xml:space="preserve">El PSG convencional registra SpO₂ de forma continua y, en principio, podría producir las mismas curvas morfológicas de evento que el SOMNI 6000. Lo que PSG no fue diseñada para hacer —y que su protocolo de laboratorio de una sola noche no permite— es el análisis morfológico no supervisado sobre corpus de decenas de miles de eventos, ni la caracterización de la variabilidad dinámica intraindividual que requiere noches consecutivas en condiciones habituales del paciente. La ventaja analítica del pipeline PAC_v3 sobre la PSG convencional no reside en el tipo de sensor sino en el diseño longitudinal domiciliario: 553 noches de calidad de 12 pacientes generan un corpus cuya escala y representatividad de las condiciones reales del sueño no es reproducible en laboratorio. Lo que el PSG captura en una noche en condiciones controladas, el pipeline PAC lo captura en decenas de noches en las condiciones donde el SAOS realmente ocurre.</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la fisiología nocturna que las señales clásicas de PSG no producen habitualmente: morfotipos de la curva SpO₂ a escala de evento, estados dinámicos multiescala y acoplamiento cuantificado sobre 80.000 eventos. Esto no invalida al PSG como gold standard diagnóstico; es una afirmación sobre qué tipo de análisis habilita el diseño longitudinal domiciliario que PSG, por diseño, no realiza. La pregunta empírica que queda abierta es cuánta información adicional aportaría el EEG y las señales adicionales del PSG sobre los morfotipos y estados ya identificados: comparar los resultados del pipeline PAC sobre la cohorte actual con los obtenidos sobre una cohorte con PSG simultánea permitiría cuantificar esa ganancia incremental. Esta comparación queda como trabajo futuro explícito.</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PAC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veces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módulo prospectivo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morfotipos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del Proyecto PAC.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predictivos)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del Proyecto PAC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los módulos predictivos producen probabilidades pobremente calibradas en términos absolutos (sobreestimación de aproximadamente 4 veces para el modelo prospectivo)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aproximadamente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PAC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PAC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2026-05-29T03:53:17.848Z</dcterms:created>
  <dcterms:modified xsi:type="dcterms:W3CDTF">2026-05-29T03:53:17.849Z</dcterms:modified>
</cp:coreProperties>
</file>

<file path=docProps/custom.xml><?xml version="1.0" encoding="utf-8"?>
<Properties xmlns="http://schemas.openxmlformats.org/officeDocument/2006/custom-properties" xmlns:vt="http://schemas.openxmlformats.org/officeDocument/2006/docPropsVTypes"/>
</file>