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13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Las secciones precedentes de este capítulo discutieron cada componente del Proyecto PAC frente a la literatura: el fenotipado morfológico (§9.2), los estados dinámicos (§9.3), el acoplamiento (§9.4), los modelos predictivos (§9.5) y la plataforma domiciliaria (§9.6). Lo que §9.7 agrega es la lectura integrada de ese arco: qué habilita el conjunto y qué queda fuera de su alcance. La lectura integrada es esta: 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§9.7 articula.</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SAOS es, por definición, una condición heterogénea: su fisiopatología varía entre pacientes, su severidad varía entre noches del mismo paciente, y su respuesta a distintas formas de tratamiento no es uniforme. Esta heterogeneidad, que la literatura clínica del SAOS discute hace décadas, tiene una manifestación concreta y cuantificada en el módulo NB08: la prevalencia de eventos severos varía 20 veces entre los pacientes de la cohorte (1,6 %–32,1 %). Un sistema de activación calibrado globalmente sobre ese rango sería, en el mejor caso, adecuado para los pacientes del centro de la distribución y subóptimo para todos los demás. La implicancia no es que el sistema no funcione: es que su traslación clínica requiere calibración individual como primera etapa, no como optimización opcional. El diseño natural para esa calibración —un período de caracterización domiciliaria sin activación del estimulador, que el protocolo del SOMNI 6000 ya contempla— es también la fuente de los parámetros individuales que el pipeline PAC necesita para ajustar el umbral de activación de cada paciente.</w:t>
      </w:r>
    </w:p>
    <w:p>
      <w:pPr>
        <w:spacing w:after="160" w:line="276"/>
        <w:jc w:val="both"/>
      </w:pPr>
      <w:r>
        <w:rPr>
          <w:rFonts w:ascii="Arial" w:cs="Arial" w:eastAsia="Arial" w:hAnsi="Arial"/>
        </w:rPr>
        <w:t xml:space="preserve">La relación entre prevalencia y discriminación que emerge del corpus tiene una implicancia más general para el diseño de sistemas de alerta en SAOS. El paciente de menor prevalencia de la cohorte (1,6 % de ventanas positivas) muestra paradójicamente el AUC más alto en todos los horizontes (0,87–0,84). Este resultado, documentado en el módulo NB08, sugiere que la discriminación es más alta cuando los eventos severos son fisiológicamente inusuales para ese paciente: el sistema PAC los anticipa bien precisamente porque el estado fisiológico previo a esos eventos contrasta con el estado habitual de ese individuo. La implicancia inversa es inquietante: los pacientes de mayor carga hipóxica (SAOS severo con hipoxemia basal persistente) podrían ser los más difíciles de anticipar algorítmicamente, no porque el sistema PAC falle en detectar la señal, sino porque en ellos los eventos severos son el estado habitual y no el estado excepcional. La discriminación requiere contraste; cuando el estado de riesgo es crónico, ese contraste se erosiona.</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circularidad potencial de las representaciones PAC —discutida técnicamente en el módulo NB08— tiene una implicancia que trasciende el problema metodológico interno: condiciona la replicabilidad del pipeline en cualquier nueva cohorte. Las dos estrategias de resolución (validación en cohorte externa con clusters aprendidos de forma independiente, o reconstrucción within-fold) no son equivalentes en lo que demuestran. La cohorte externa demostraría que los morfotipos y estados PAC son transferibles: que la taxonomía construida sobre 12 pacientes captura propiedades fisiológicas genéricas del SAOS, no idiosincrasias de esa cohorte particular. La reconstrucción within-fold demostraría que el AUC es metodológicamente limpio pero no resuelve la pregunta de transferibilidad. Para los fines de traslación clínica, la cohorte externa es la prueba que importa: si los morfotipos C1–C5 y los estados S/M/L se reproducen en una cohorte independiente con distribución demográfica diferente, el pipeline PAC puede considerarse un instrumento de caracterización generalizable, no un sistema sobreajustado a sus datos de origen.</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Lo que distingue este diseño de un ensayo estándar de CPAP es la fase de caracterización: los 7-14 días sin estimulación no son solo un período de rodaje del dispositivo, sino la fuente de los parámetros individuales —prevalencia de eventos severos, umbral de activación, perfil de estados PAC habituales— que el módulo NB08 necesita para operar de forma personalizada. Esa fase sirve simultáneamente para estimar el umbral individual y para confirmar el fenotipo PAC antes de la aleatorización, una eficiencia de diseño que los ensayos de CPAP convencional no tienen porque CPAP no requiere calibración individual previa. El modelo de referencia metodológico más cercano es el de los estudios de auto-CPAP con titulación domiciliaria (Lévy et al., 2015), donde la primera semana de monitoreo fija los parámetros de presión antes de la fase terapéutica aleatorizada.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2026-05-29T04:00:26.616Z</dcterms:created>
  <dcterms:modified xsi:type="dcterms:W3CDTF">2026-05-29T04:00:26.616Z</dcterms:modified>
</cp:coreProperties>
</file>

<file path=docProps/custom.xml><?xml version="1.0" encoding="utf-8"?>
<Properties xmlns="http://schemas.openxmlformats.org/officeDocument/2006/custom-properties" xmlns:vt="http://schemas.openxmlformats.org/officeDocument/2006/docPropsVTypes"/>
</file>