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pBdr>
          <w:bottom w:val="single" w:color="D0D8E4" w:sz="4" w:space="8"/>
        </w:pBdr>
        <w:spacing w:after="400" w:before="0"/>
      </w:pPr>
      <w:r>
        <w:rPr>
          <w:rFonts w:ascii="Arial" w:cs="Arial" w:eastAsia="Arial" w:hAnsi="Arial"/>
          <w:color w:val="6B7280"/>
          <w:sz w:val="18"/>
          <w:szCs w:val="18"/>
        </w:rPr>
        <w:t xml:space="preserve">Versión 14  ·  Mayo 2026</w:t>
      </w:r>
    </w:p>
    <w:p>
      <w:pPr>
        <w:spacing w:after="160"/>
      </w:pPr>
      <w:r>
        <w:rPr>
          <w:rFonts w:ascii="Arial" w:cs="Arial" w:eastAsia="Arial" w:hAnsi="Arial"/>
        </w:rPr>
        <w:t xml:space="preserve"/>
      </w:r>
    </w:p>
    <w:p>
      <w:pPr>
        <w:spacing w:after="160" w:line="276"/>
        <w:jc w:val="both"/>
      </w:pPr>
      <w:r>
        <w:rPr>
          <w:rFonts w:ascii="Arial" w:cs="Arial" w:eastAsia="Arial" w:hAnsi="Arial"/>
        </w:rPr>
        <w:t xml:space="preserve">Analizar la fisiología nocturna del síndrome de apneas obstructivas del sueño (SAOS) desde un único sensor portátil plantea dos problemas simultáneos: de representación, porque es necesario extraer información compacta e interpretable de millones de muestras de saturación periférica de oxígeno (SpO₂), frecuencia cardíaca (FC) y movimiento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y discutir; para otros no hay referencia directa publicada y el Proyecto PAC es la primera fuente que los aborda a esta escala y con esta metodología.</w:t>
      </w:r>
    </w:p>
    <w:p>
      <w:pPr>
        <w:pStyle w:val="Heading1"/>
        <w:pBdr>
          <w:bottom w:val="single" w:color="D0D8E4" w:sz="4" w:space="4"/>
        </w:pBdr>
        <w:spacing w:after="160" w:before="320"/>
      </w:pPr>
      <w:r>
        <w:rPr>
          <w:rFonts w:ascii="Arial" w:cs="Arial" w:eastAsia="Arial" w:hAnsi="Arial"/>
          <w:b/>
          <w:bCs/>
          <w:color w:val="1E3A5F"/>
          <w:sz w:val="28"/>
          <w:szCs w:val="28"/>
        </w:rPr>
        <w:t xml:space="preserve">9.1  Índices de evento e índices agregados nocturnos: el problema de la reducción escalar en el SAOS</w:t>
      </w:r>
    </w:p>
    <w:p>
      <w:pPr>
        <w:spacing w:after="160" w:line="276"/>
        <w:jc w:val="both"/>
      </w:pPr>
      <w:r>
        <w:rPr>
          <w:rFonts w:ascii="Arial" w:cs="Arial" w:eastAsia="Arial" w:hAnsi="Arial"/>
        </w:rPr>
        <w:t xml:space="preserve">El SAOS se manifiesta durante el sueño como una sucesión de eventos respiratorios individuales: apneas, hipopneas, desaturaciones (Berry et al., 2012). Cada evento tiene propiedades elementales (profundidad de la caída de SpO₂, duración, perfil temporal de recuperación y respuesta cardíaca y motora asociada) que representan la unidad natural de análisis desde el punto de vista fisiopatológico. La práctica clínica estándar, sin embargo, no opera sobre eventos individuales sino sobre estadísticas nocturnas que comprimen esa información en un único número por noche. Esta reducción es pragmáticamente necesaria (un médico no puede revisar 85.000 eventos individualmente), pero conlleva una pérdida de estructura que tiene consecuencias diagnósticas concretas (Azarbarzin et al., 2019; Sands et al., 2021).</w:t>
      </w:r>
    </w:p>
    <w:p>
      <w:pPr>
        <w:spacing w:after="160" w:line="276"/>
        <w:jc w:val="both"/>
      </w:pPr>
      <w:r>
        <w:rPr>
          <w:rFonts w:ascii="Arial" w:cs="Arial" w:eastAsia="Arial" w:hAnsi="Arial"/>
        </w:rPr>
        <w:t xml:space="preserve">La distinción entre índices de evento e índices agregados nocturnos no es abstracta: el Proyecto PAC la operacionaliza en su diseño central. Cada evento de desaturación se caracteriza individualmente por su morfología, la respuesta autonómica que genera y su posición dentro de la noche; esas caracterizaciones se consolidan luego en perfiles nocturnos y por paciente. Procesar simultáneamente el evento individual y la noche completa como niveles de análisis complementarios no es la norma en los sistemas de monitoreo domiciliario, donde habitualmente solo se reportan índices nocturnos agregados, y constituye una de las decisiones de diseño más relevantes del proyecto.</w:t>
      </w:r>
    </w:p>
    <w:p>
      <w:pPr>
        <w:pStyle w:val="Heading2"/>
        <w:spacing w:after="120" w:before="240"/>
      </w:pPr>
      <w:r>
        <w:rPr>
          <w:rFonts w:ascii="Arial" w:cs="Arial" w:eastAsia="Arial" w:hAnsi="Arial"/>
          <w:b/>
          <w:bCs/>
          <w:color w:val="1E3A5F"/>
          <w:sz w:val="24"/>
          <w:szCs w:val="24"/>
        </w:rPr>
        <w:t xml:space="preserve">9.1.1  El AHI y el ODI3: estándar clínico y subrogante oxiométrico</w:t>
      </w:r>
    </w:p>
    <w:p>
      <w:pPr>
        <w:spacing w:after="160" w:line="276"/>
        <w:jc w:val="both"/>
      </w:pPr>
      <w:r>
        <w:rPr>
          <w:rFonts w:ascii="Arial" w:cs="Arial" w:eastAsia="Arial" w:hAnsi="Arial"/>
        </w:rPr>
        <w:t xml:space="preserve">El índice apnea-hipopnea (AHI, del inglés Apnea-Hypopnea Index) es el índice de referencia clínica del SAOS: número de apneas e hipopneas por hora de sueño, calculado sobre señales de flujo oronasal, esfuerzo respiratorio y SpO₂ en polisomnografía (PSG) completa (Berry et al., 2012). Los umbrales definidos por la Academia Americana de Medicina del Sueño (AASM) clasifican el SAOS en leve (5 ≤ AHI &lt; 15), moderado (15 ≤ AHI &lt; 30) y severo (AHI ≥ 30), y orientan las decisiones terapéuticas. Su respaldo como predictor de riesgo cardiovascular en cohortes epidemiológicas de largo plazo (Lévy et al., 2015) explica su permanencia como estándar pese a sus limitaciones reconocidas.</w:t>
      </w:r>
    </w:p>
    <w:p>
      <w:pPr>
        <w:spacing w:after="160" w:line="276"/>
        <w:jc w:val="both"/>
      </w:pPr>
      <w:r>
        <w:rPr>
          <w:rFonts w:ascii="Arial" w:cs="Arial" w:eastAsia="Arial" w:hAnsi="Arial"/>
        </w:rPr>
        <w:t xml:space="preserve">El índice de desaturación de oxígeno (ODI3, umbral ≥ 3 pp) es el subrogante del AHI más utilizado en dispositivos domiciliarios: cuenta las desaturaciones de SpO₂ por hora sin requerir PSG ni técnico especializado. Su concordancia con el AHI es alta en el rango moderado-severo (correlaciones r &gt; 0,85 en estudios de validación frente a PSG; Masa et al., 2011; Duran-Cantolla et al., 2010), rango en el que se concentra la cohorte del Proyecto PAC. Es importante destacar que esta concordancia implica también una limitación compartida: ambos son índices de frecuencia que cuentan eventos pero no caracterizan su forma, profundidad integrada ni respuesta autonómica. El Proyecto PAC usa el ODI3 como índice de severidad nocturna de referencia, reconociendo que opera como proxy del AHI en ausencia de PSG.</w:t>
      </w:r>
    </w:p>
    <w:p>
      <w:pPr>
        <w:spacing w:after="160" w:line="276"/>
        <w:jc w:val="both"/>
      </w:pPr>
      <w:r>
        <w:rPr>
          <w:rFonts w:ascii="Arial" w:cs="Arial" w:eastAsia="Arial" w:hAnsi="Arial"/>
        </w:rPr>
        <w:t xml:space="preserve">Para la detección interna de EDOs el pipeline adopta un umbral más permisivo de ≥ 2 pp, reservando el ODI3 para la estratificación de severidad nocturna. Esta decisión se fundamenta en que el umbral clínico es una convención diagnóstica, no una frontera fisiológica: un evento de 2,5 pp tiene morfología, duración y respuesta autonómica igualmente informativas que uno de 3,2 pp, y excluirlo implicaría perder información estructural sin justificación fisiopatológica. El ODI3 y su variante ODI4 se calculan como subconjuntos del corpus de 85.277 EDOs para la validación comparativa, preservando la compatibilidad con el estándar clínico.</w:t>
      </w:r>
    </w:p>
    <w:p>
      <w:pPr>
        <w:pStyle w:val="Heading2"/>
        <w:spacing w:after="120" w:before="240"/>
      </w:pPr>
      <w:r>
        <w:rPr>
          <w:rFonts w:ascii="Arial" w:cs="Arial" w:eastAsia="Arial" w:hAnsi="Arial"/>
          <w:b/>
          <w:bCs/>
          <w:color w:val="1E3A5F"/>
          <w:sz w:val="24"/>
          <w:szCs w:val="24"/>
        </w:rPr>
        <w:t xml:space="preserve">9.1.2  Más allá de la frecuencia: T90 y la carga hipóxica nocturna</w:t>
      </w:r>
    </w:p>
    <w:p>
      <w:pPr>
        <w:spacing w:after="160" w:line="276"/>
        <w:jc w:val="both"/>
      </w:pPr>
      <w:r>
        <w:rPr>
          <w:rFonts w:ascii="Arial" w:cs="Arial" w:eastAsia="Arial" w:hAnsi="Arial"/>
        </w:rPr>
        <w:t xml:space="preserve">El T90 (fracción del tiempo de sueño con SpO₂ &lt; 90 %) y la carga hipóxica (hypoxic burden: área bajo la curva de SpO₂ durante los eventos respiratorios) representan los intentos más exitosos de capturar la dimensión temporal e integrada de la hipoxemia que AHI y ODI3 omiten (Lévy et al., 2015). Azarbarzin et al. (2019) demostraron en dos cohortes epidemiológicas de gran escala (MrOS Sleep Study, n = 2.690; SHHS, n = 4.388) que la carga hipóxica predice mortalidad cardiovascular independientemente del AHI: pacientes con alta carga hipóxica y AHI moderado presentan peor pronóstico cardiovascular que pacientes con AHI equivalente pero baja carga hipóxica. En la misma línea, Sands et al. (2021) proponen descomponer el fenotipo del SAOS en cuatro rasgos fisiopatológicos independientes (ganancia del quimiorreceptor o loop gain, umbral de arousal, respuesta muscular de la vía aérea superior y compensación postural), cada uno variable independientemente del AHI. T90 y carga hipóxica son calculables desde oximetría domiciliaria y forman parte del quinteto de validación del pipeline PAC_v3. Sin embargo, siguen siendo índices agregados nocturnos: integran la carga hipóxica de la noche completa pero no capturan la morfología de los eventos individuales que la generan, su distribución temporal ni la respuesta autonómica que producen.</w:t>
      </w:r>
    </w:p>
    <w:p>
      <w:pPr>
        <w:pStyle w:val="Heading2"/>
        <w:spacing w:after="120" w:before="240"/>
      </w:pPr>
      <w:r>
        <w:rPr>
          <w:rFonts w:ascii="Arial" w:cs="Arial" w:eastAsia="Arial" w:hAnsi="Arial"/>
          <w:b/>
          <w:bCs/>
          <w:color w:val="1E3A5F"/>
          <w:sz w:val="24"/>
          <w:szCs w:val="24"/>
        </w:rPr>
        <w:t xml:space="preserve">9.1.3  La propuesta PAC: enriquecer los índices sin reemplazarlos</w:t>
      </w:r>
    </w:p>
    <w:p>
      <w:pPr>
        <w:spacing w:after="160" w:line="276"/>
        <w:jc w:val="both"/>
      </w:pPr>
      <w:r>
        <w:rPr>
          <w:rFonts w:ascii="Arial" w:cs="Arial" w:eastAsia="Arial" w:hAnsi="Arial"/>
        </w:rPr>
        <w:t xml:space="preserve">El pipeline PAC_v3 no compite con el AHI ni con el ODI3: los calcula, los usa como referencia de severidad y los valida. Lo que añade es la dimensión estructural que esos índices suprimen. A nivel de evento: el fenotipado morfológico captura la forma de la curva SpO₂, información que está presente en la señal pero que ningún índice convencional preserva. La baseline móvil de 120 s adoptada en la detección de EDOs es una decisión metodológica relevante en este sentido: al normalizarse respecto al nivel local de SpO₂ en lugar de a un umbral fijo, el pipeline es sensible a desaturaciones en pacientes con saturación basal crónica baja, una población que los umbrales fijos sistemáticamente subidentifican (Álvarez et al., 2022). A nivel de noche: los estados PAC multiescala capturan la organización temporal de la noche como secuencia de estados a 30 s, 5 min y 30 min, información que los índices nocturnos agregan pero no resuelven.</w:t>
      </w:r>
    </w:p>
    <w:p>
      <w:pPr>
        <w:spacing w:after="160" w:line="276"/>
        <w:jc w:val="both"/>
      </w:pPr>
      <w:r>
        <w:rPr>
          <w:rFonts w:ascii="Arial" w:cs="Arial" w:eastAsia="Arial" w:hAnsi="Arial"/>
        </w:rPr>
        <w:t xml:space="preserve">La ausencia de precedentes directos para estas dos contribuciones (fenotipado morfológico no supervisado de EDOs a esta escala y estados PAC triescala sobre oximetría domiciliaria) no significa que el problema sea nuevo, sino que el abordaje adoptado es diferente. Los sistemas de monitoreo domiciliario disponibles producen rutinariamente ODI3, T90 y carga hipóxica a partir de oximetría portátil (Terrill, 2020). Lo que el pipeline PAC_v3 añade es preservar y explotar la estructura morfológica y dinámica que esos índices descartan; las revisiones disponibles sobre ML no supervisado en señales de sueño no registran un abordaje publicado equivalente a esta escala (Biedebach et al., 2025). El trabajo más próximo en la literatura es el de Zhang et al. (2026), que extrae features escalares por evento de SpO₂ (profundidad, duración, área) para clasificación supervisada de SAOS, sin abordar el espacio morfológico de la curva completa ni construir representaciones dinámicas multinoche. Las secciones que siguen discuten cada componente de esa estructura.</w:t>
      </w:r>
    </w:p>
    <w:p>
      <w:pPr>
        <w:pStyle w:val="Heading1"/>
        <w:pBdr>
          <w:bottom w:val="single" w:color="D0D8E4" w:sz="4" w:space="4"/>
        </w:pBdr>
        <w:spacing w:after="160" w:before="320"/>
      </w:pPr>
      <w:r>
        <w:rPr>
          <w:rFonts w:ascii="Arial" w:cs="Arial" w:eastAsia="Arial" w:hAnsi="Arial"/>
          <w:b/>
          <w:bCs/>
          <w:color w:val="1E3A5F"/>
          <w:sz w:val="28"/>
          <w:szCs w:val="28"/>
        </w:rPr>
        <w:t xml:space="preserve">9.2  Fenotipado morfológico de EDOs: morfotipos C1–C5 y el ARI en perspectiva</w:t>
      </w:r>
    </w:p>
    <w:p>
      <w:pPr>
        <w:pStyle w:val="Heading2"/>
        <w:spacing w:after="120" w:before="240"/>
      </w:pPr>
      <w:r>
        <w:rPr>
          <w:rFonts w:ascii="Arial" w:cs="Arial" w:eastAsia="Arial" w:hAnsi="Arial"/>
          <w:b/>
          <w:bCs/>
          <w:color w:val="1E3A5F"/>
          <w:sz w:val="24"/>
          <w:szCs w:val="24"/>
        </w:rPr>
        <w:t xml:space="preserve">9.2.1  Los morfotipos de curvas SpO₂ frente a la literatura</w:t>
      </w:r>
    </w:p>
    <w:p>
      <w:pPr>
        <w:spacing w:after="160" w:line="276"/>
        <w:jc w:val="both"/>
      </w:pPr>
      <w:r>
        <w:rPr>
          <w:rFonts w:ascii="Arial" w:cs="Arial" w:eastAsia="Arial" w:hAnsi="Arial"/>
        </w:rPr>
        <w:t xml:space="preserve">El fenotipado morfológico de eventos individuales de desaturación mediante métodos no supervisados sobre la curva completa de SpO₂ no tiene precedente directo en la literatura a la escala que el Proyecto PAC propone. Los trabajos más cercanos operan sobre índices agregados por noche (T90, ODI) o sobre características univariadas de los eventos (duración, profundidad), pero no sobre la forma completa de la curva normalizada como objeto de clustering (Terrill, 2020). El enfoque es metodológicamente análogo al fenotipado morfológico no supervisado aplicado en señales de ECG (Clifton et al., 2015), pero trasladado a un corpus de 84.248 eventos de oximetría domiciliaria cuya escala no registra equivalente publicado en la literatura revisada (Biedebach et al., 2025).</w:t>
      </w:r>
    </w:p>
    <w:p>
      <w:pPr>
        <w:spacing w:after="160" w:line="276"/>
        <w:jc w:val="both"/>
      </w:pPr>
      <w:r>
        <w:rPr>
          <w:rFonts w:ascii="Arial" w:cs="Arial" w:eastAsia="Arial" w:hAnsi="Arial"/>
        </w:rPr>
        <w:t xml:space="preserve">La estructura del espacio morfológico resultante es fisiológicamente coherente: el primer componente principal captura la profundidad de la caída de SpO₂ y organiza los morfotipos en un gradiente de severidad creciente, lo que sugiere que la varianza morfológica del corpus no es ruido sino información fisiopatológica estructurada. Los morfotipos C4 y C5, con apenas el 6,1 % de los eventos, concentran una fracción desproporcionadamente alta de carga hipóxica acumulada, lo que indica que dos pacientes con el mismo ODI3 pueden diferir sustancialmente en su exposición hipóxica real según la distribución de morfotipos. La estabilidad inter-noche de los morfotipos (ICC moderado) es coherente con la observación de Eckert et al. (2013) de que los mecanismos fisiopatológicos dominantes en el SAOS son relativamente consistentes entre noches en un mismo paciente; que esa consistencia emerja en la forma de la curva SpO₂ sin necesidad de PSG refuerza la utilidad del enfoque domiciliario.</w:t>
      </w:r>
    </w:p>
    <w:p>
      <w:pPr>
        <w:spacing w:after="160" w:line="276"/>
        <w:jc w:val="both"/>
      </w:pPr>
      <w:r>
        <w:rPr>
          <w:rFonts w:ascii="Arial" w:cs="Arial" w:eastAsia="Arial" w:hAnsi="Arial"/>
        </w:rPr>
        <w:t xml:space="preserve">La distribución del intervalo inter-evento (IEI) —mediana de 82 s, con el 62,8 % de los pares consecutivos separados por menos de 2 minutos— no es solo un dato descriptivo: retroalimenta y justifica una decisión de diseño del pipeline. La elección de un baseline móvil de 120 s para la detección de EDOs responde directamente a esa estructura temporal: si los eventos tienden a agruparse en trenes densos, un baseline demasiado corto absorbería el efecto residual de la desaturación anterior como nivel de referencia, comprimiendo artificialmente la profundidad relativa de los eventos siguientes; uno demasiado largo se adaptaría con inercia excesiva en pacientes con hipoxemia basal persistente. Que el 62,8 % de los pares quede por debajo del umbral de 2 minutos sugiere que 120 s es un valor que opera en el equilibrio entre ambos riesgos, no una convención arbitraria. Este tipo de coherencia entre la estructura observada en los datos y las decisiones metodológicas del pipeline es, en sí misma, una forma de validación interna.</w:t>
      </w:r>
    </w:p>
    <w:p>
      <w:pPr>
        <w:pStyle w:val="Heading2"/>
        <w:spacing w:after="120" w:before="240"/>
      </w:pPr>
      <w:r>
        <w:rPr>
          <w:rFonts w:ascii="Arial" w:cs="Arial" w:eastAsia="Arial" w:hAnsi="Arial"/>
          <w:b/>
          <w:bCs/>
          <w:color w:val="1E3A5F"/>
          <w:sz w:val="24"/>
          <w:szCs w:val="24"/>
        </w:rPr>
        <w:t xml:space="preserve">9.2.2  El ARI: una dimensión ortogonal a la severidad hipóxica</w:t>
      </w:r>
    </w:p>
    <w:p>
      <w:pPr>
        <w:spacing w:after="160" w:line="276"/>
        <w:jc w:val="both"/>
      </w:pPr>
      <w:r>
        <w:rPr>
          <w:rFonts w:ascii="Arial" w:cs="Arial" w:eastAsia="Arial" w:hAnsi="Arial"/>
        </w:rPr>
        <w:t xml:space="preserve">El Índice de Reactividad Autonómica (ARI) es la contribución metodológica más original del Proyecto PAC. El hallazgo de ortogonalidad entre el ARI y el ODI3 (ρ[ARI, ODI3] = 0,034; n = 85.277 EDOs) implica que la respuesta autonómica cardíaca y motora de un evento es estadísticamente independiente de su frecuencia nocturna. Un paciente con ODI3 elevado puede presentar ARI bajo, y viceversa: la frecuencia y la reactividad autonómica son dimensiones del fenotipo que no se predicen mutuamente.</w:t>
      </w:r>
    </w:p>
    <w:p>
      <w:pPr>
        <w:spacing w:after="160" w:line="276"/>
        <w:jc w:val="both"/>
      </w:pPr>
      <w:r>
        <w:rPr>
          <w:rFonts w:ascii="Arial" w:cs="Arial" w:eastAsia="Arial" w:hAnsi="Arial"/>
        </w:rPr>
        <w:t xml:space="preserve">Este resultado tiene coherencia fisiopatológica directa con la literatura. El arousal cortical que acompaña a los eventos respiratorios está parcialmente disociado de la severidad de la desaturación: pacientes con umbral de arousal bajo tienden a presentar eventos cortos, de desaturación menor, pero acompañados de respuesta cardiovascular importante; pacientes con umbral alto presentan episodios más prolongados y profundos, pero con menor respuesta cortical y autonómica por evento (Wellman et al., 2011; Stradling &amp; Davies, 2004). El ARI operacionaliza esta relación mediante oximetría y acelerometría, sin requerir electroencefalografía ni polisomnografía completa.</w:t>
      </w:r>
    </w:p>
    <w:p>
      <w:pPr>
        <w:spacing w:after="160" w:line="276"/>
        <w:jc w:val="both"/>
      </w:pPr>
      <w:r>
        <w:rPr>
          <w:rFonts w:ascii="Arial" w:cs="Arial" w:eastAsia="Arial" w:hAnsi="Arial"/>
        </w:rPr>
        <w:t xml:space="preserve">El hallazgo del gradiente autonómico inverso (el morfotipo C5 presenta el ARI más bajo del corpus, 0,423 ± 0,104, en lugar del más alto) es contraintuitivo desde el supuesto de que los eventos más severos deberían generar mayor respuesta fisiológica. El análisis within-stratum confirma que este gradiente es genuino y no un artefacto de composición. La interpretación fisiopatológica más parsimoniosa es que los pacientes con SAOS severo han desarrollado, a lo largo del tiempo, una cierta adaptación autonómica a la hipoxia recurrente: su sistema nervioso autónomo genera una respuesta proporcionalmente menor ante estímulos hipóxicos de mayor magnitud. Este fenómeno es coherente con la literatura sobre adaptación del reflejo quimiorreceptor en hipoxemia intermitente crónica: Prabhakar (2016) describe cómo la exposición sostenida a hipoxia recurrente puede modificar la sensibilidad del cuerpo carotídeo, y Narkiewicz &amp; Somers (2003) documentan que la actividad nerviosa simpática en el SAOS presenta variabilidad inter-paciente que no se explica únicamente por la severidad del índice apneico. La relación causal entre exposición crónica y adaptación autonómica, sin embargo, no puede establecerse a partir de datos observacionales transversales.</w:t>
      </w:r>
    </w:p>
    <w:p>
      <w:pPr>
        <w:spacing w:after="160" w:line="276"/>
        <w:jc w:val="both"/>
      </w:pPr>
      <w:r>
        <w:rPr>
          <w:rFonts w:ascii="Arial" w:cs="Arial" w:eastAsia="Arial" w:hAnsi="Arial"/>
        </w:rPr>
        <w:t xml:space="preserve">El ICC(1,1) del ARI a nivel noche-paciente (0,69 en cohorte completa, 0,74 en cohorte estricta) confirma que el ARI es un rasgo moderadamente estable del individuo: las distintas noches de un mismo paciente producen valores de ARI similares, en mayor medida de lo que la variabilidad intraindividual sugeriría a priori. Esta estabilidad contrasta con el comportamiento del ODI3, que en la misma cohorte requiere aproximadamente 7 noches promediadas para que el error absoluto de estimación descienda a niveles operacionalmente aceptables (Masa et al., 2011); el ARI nocturno, en cambio, presenta un error absoluto medio por debajo del umbral operacional ya desde la primera noche de registro. Esto implica una asimetría clínicamente relevante: mientras que un estudio domiciliario de una sola noche produce estimaciones de ODI3 con variabilidad sustancial, el ARI podría caracterizarse de forma suficientemente estable en registros de muy corta duración, lo que refuerza su valor como complemento diagnóstico en protocolos de tamizaje rápido.</w:t>
      </w:r>
    </w:p>
    <w:p>
      <w:pPr>
        <w:pStyle w:val="Heading1"/>
        <w:pBdr>
          <w:bottom w:val="single" w:color="D0D8E4" w:sz="4" w:space="4"/>
        </w:pBdr>
        <w:spacing w:after="160" w:before="320"/>
      </w:pPr>
      <w:r>
        <w:rPr>
          <w:rFonts w:ascii="Arial" w:cs="Arial" w:eastAsia="Arial" w:hAnsi="Arial"/>
          <w:b/>
          <w:bCs/>
          <w:color w:val="1E3A5F"/>
          <w:sz w:val="28"/>
          <w:szCs w:val="28"/>
        </w:rPr>
        <w:t xml:space="preserve">9.3  PAC States: la fisiología nocturna como sistema dinámico multiescala</w:t>
      </w:r>
    </w:p>
    <w:p>
      <w:pPr>
        <w:pStyle w:val="Heading2"/>
        <w:spacing w:after="120" w:before="240"/>
      </w:pPr>
      <w:r>
        <w:rPr>
          <w:rFonts w:ascii="Arial" w:cs="Arial" w:eastAsia="Arial" w:hAnsi="Arial"/>
          <w:b/>
          <w:bCs/>
          <w:color w:val="1E3A5F"/>
          <w:sz w:val="24"/>
          <w:szCs w:val="24"/>
        </w:rPr>
        <w:t xml:space="preserve">9.3.1  Representación del sueño como secuencia de estados</w:t>
      </w:r>
    </w:p>
    <w:p>
      <w:pPr>
        <w:spacing w:after="160" w:line="276"/>
        <w:jc w:val="both"/>
      </w:pPr>
      <w:r>
        <w:rPr>
          <w:rFonts w:ascii="Arial" w:cs="Arial" w:eastAsia="Arial" w:hAnsi="Arial"/>
        </w:rPr>
        <w:t xml:space="preserve">La representación del sueño como una secuencia de estados fisiológicos discretos tiene antecedentes en la literatura de análisis de señales biomédicas. Los modelos de Markov ocultos (HMM) han sido aplicados a series de tiempo de EEG para inferir estadios del sueño (Penzel et al., 2016) y a señales cardíacas para detectar transiciones fisiológicas durante el sueño (Goldberger et al., 2002). La innovación del sistema PAC States radica en tres aspectos: (a) la construcción de los estados sobre señales de oximetría portátil (SpO₂ + FC + MOV) sin EEG ni PSG; (b) la arquitectura triescala simultánea (30 s, 5 min, 30 min) que captura la dinámica a diferentes horizontes temporales; y (c) la validación de la especialización funcional de los estados mediante correlaciones con índices clínicos independientes.</w:t>
      </w:r>
    </w:p>
    <w:p>
      <w:pPr>
        <w:spacing w:after="160" w:line="276"/>
        <w:jc w:val="both"/>
      </w:pPr>
      <w:r>
        <w:rPr>
          <w:rFonts w:ascii="Arial" w:cs="Arial" w:eastAsia="Arial" w:hAnsi="Arial"/>
        </w:rPr>
        <w:t xml:space="preserve">Lo más relevante de esta arquitectura triescala no son los K elegidos ni los coeficientes de correlación con los índices clínicos: es que la especialización funcional emergió empíricamente del clustering, sin ser impuesta por diseño. Los estados PAC no se mapean a los estadios AASM (N1, N2, N3, REM) porque éstos fueron definidos con criterios de actividad cortical, ajenos a la severidad hipóxica o la reactividad autonómica. Los estados PAC, en cambio, fueron construidos sobre señales de SpO₂, FC y movimiento, y la estructura que capturan es la de la regulación autonómica y respiratoria nocturna. Que esa estructura produzca predictores especializados por escala (frecuencia de eventos en la escala de 30 s, carga hipóxica integrada en la de 5 min, arquitectura global en la de 30 min) no es un artefacto de la elección de K: es la manifestación de que los procesos fisiopatológicos del SAOS operan con dinámicas temporales distintas que la taxonomía cortical del sueño no resuelve.</w:t>
      </w:r>
    </w:p>
    <w:p>
      <w:pPr>
        <w:pStyle w:val="Heading2"/>
        <w:spacing w:after="120" w:before="240"/>
      </w:pPr>
      <w:r>
        <w:rPr>
          <w:rFonts w:ascii="Arial" w:cs="Arial" w:eastAsia="Arial" w:hAnsi="Arial"/>
          <w:b/>
          <w:bCs/>
          <w:color w:val="1E3A5F"/>
          <w:sz w:val="24"/>
          <w:szCs w:val="24"/>
        </w:rPr>
        <w:t xml:space="preserve">9.3.2  Especialización funcional: el hallazgo central del análisis de PAC States</w:t>
      </w:r>
    </w:p>
    <w:p>
      <w:pPr>
        <w:spacing w:after="160" w:line="276"/>
        <w:jc w:val="both"/>
      </w:pPr>
      <w:r>
        <w:rPr>
          <w:rFonts w:ascii="Arial" w:cs="Arial" w:eastAsia="Arial" w:hAnsi="Arial"/>
        </w:rPr>
        <w:t xml:space="preserve">El hallazgo de especialización funcional entre las tres escalas temporales (cada escala predice una dimensión diferente de la severidad nocturna) es el resultado de mayor originalidad del análisis de estados y uno de los más relevantes para la interpretación clínica. La escala S (30 s) es el mejor predictor de la frecuencia de eventos (ODI3), porque su resolución temporal permite capturar la microdinámica ciclo a ciclo de la desaturación y recuperación. La escala M (5 min) es el mejor predictor de la carga hipóxica integrada (T90), porque su ventana temporal corresponde al régimen de regulación ventilatoria intermedia: lo suficientemente larga como para integrar rachas de eventos, lo suficientemente corta como para ser sensible a cambios posturales y de posición del sueño. La escala L (30 min) captura la arquitectura global de la noche: si el perfil de la primera mitad de la noche (dominado por L0, hipoxemia sostenida) es cualitativamente distinto del de la segunda mitad, eso no es visible desde las escalas S y M.</w:t>
      </w:r>
    </w:p>
    <w:p>
      <w:pPr>
        <w:spacing w:after="160" w:line="276"/>
        <w:jc w:val="both"/>
      </w:pPr>
      <w:r>
        <w:rPr>
          <w:rFonts w:ascii="Arial" w:cs="Arial" w:eastAsia="Arial" w:hAnsi="Arial"/>
        </w:rPr>
        <w:t xml:space="preserve">Esta disociación funcional entre escalas tiene una implicación metodológica importante: la evaluación de la severidad del SAOS a partir de señales de oximetría domiciliaria no puede reducirse a un único índice global calculado sobre la noche completa. La estructura temporal importa, y importa de manera diferente según la dimensión de severidad que se busque cuantificar. El vector de features nocturnas multiescala derivado del sistema PAC States captura esa estructura de manera compacta, sin requerir anotación manual de eventos ni clasificación de estadios de sueño.</w:t>
      </w:r>
    </w:p>
    <w:p>
      <w:pPr>
        <w:spacing w:after="160" w:line="276"/>
        <w:jc w:val="both"/>
      </w:pPr>
      <w:r>
        <w:rPr>
          <w:rFonts w:ascii="Arial" w:cs="Arial" w:eastAsia="Arial" w:hAnsi="Arial"/>
        </w:rPr>
        <w:t xml:space="preserve">La hipoxemia recurrente no solo aumenta la frecuencia de los eventos: modifica la organización dinámica de la fisiología nocturna. Narkiewicz &amp; Somers (2003) documentaron que en el SAOS severo la actividad nerviosa simpática es más sostenida y menos variable, coherente con la pérdida de flexibilidad regulatoria del sistema autonómico ante la exposición crónica a hipoxia intermitente. La entropía de distribución de estados PAC por escala operacionaliza esta idea sobre señales de oximetría domiciliaria: las noches de alta carga hipóxica exhiben menor entropía que las de baja carga, con el sistema concentrando el tiempo en un subconjunto reducido de estados (M1 en escala M, L0 en escala L) en lugar de distribuirlo con flexibilidad. Un sistema con pocas opciones activas y alta permanencia en estados de riesgo es, desde esta perspectiva, un sistema con menor capacidad de regulación adaptativa nocturna. El número de transiciones entre estados (tercera familia de features PAC) complementa la entropía capturando la fragmentación dinámica de la noche independientemente de qué estados dominan.</w:t>
      </w:r>
    </w:p>
    <w:p>
      <w:pPr>
        <w:spacing w:after="160" w:line="276"/>
        <w:jc w:val="both"/>
      </w:pPr>
      <w:r>
        <w:rPr>
          <w:rFonts w:ascii="Arial" w:cs="Arial" w:eastAsia="Arial" w:hAnsi="Arial"/>
        </w:rPr>
        <w:t xml:space="preserve">El resultado más revelador del agrupamiento nocturno no es la diferenciación de severidad entre perfiles sino su ausencia en una dimensión específica: la reactividad autonómica (ARI). Los tres perfiles nocturnos de severidad creciente se diferencian con claridad en las fracciones de estados M y L y en los índices hipóxicos, pero convergen a valores de ARI prácticamente idénticos entre grupos (diferencia máxima &lt; 0,03). Dicho de otro modo: un paciente en una noche de alta carga hipóxica reacciona autonómicamente igual que en una noche de baja carga. La reactividad no es función de la severidad nocturna; es una propiedad estable del sistema cardiovascular del paciente que se expresa de manera transversal a todo el perfil. PAC States captura la severidad; el ARI captura la reactividad; y la ausencia de correlación entre ambos a nivel de noche completa es coherente con la ortogonalidad ρ = 0,034 observada a nivel de evento individual (§9.2.2).</w:t>
      </w:r>
    </w:p>
    <w:p>
      <w:pPr>
        <w:pStyle w:val="Heading2"/>
        <w:spacing w:after="120" w:before="240"/>
      </w:pPr>
      <w:r>
        <w:rPr>
          <w:rFonts w:ascii="Arial" w:cs="Arial" w:eastAsia="Arial" w:hAnsi="Arial"/>
          <w:b/>
          <w:bCs/>
          <w:color w:val="1E3A5F"/>
          <w:sz w:val="24"/>
          <w:szCs w:val="24"/>
        </w:rPr>
        <w:t xml:space="preserve">9.3.3  Variabilidad intraindividual como información</w:t>
      </w:r>
    </w:p>
    <w:p>
      <w:pPr>
        <w:spacing w:after="160" w:line="276"/>
        <w:jc w:val="both"/>
      </w:pPr>
      <w:r>
        <w:rPr>
          <w:rFonts w:ascii="Arial" w:cs="Arial" w:eastAsia="Arial" w:hAnsi="Arial"/>
        </w:rPr>
        <w:t xml:space="preserve">La literatura clásica del sueño trata la variabilidad noche a noche como ruido: las guías de estadificación recomiendan estudios repetidos para obtener estimaciones estables de los índices de severidad (Masa et al., 2011). El Proyecto PAC propone la perspectiva opuesta: la variabilidad intraindividual (las diferencias entre las noches de un mismo paciente) es información diagnóstica, no ruido estadístico. Las distintas noches de un paciente reflejan la modulación del fenotipo fisiológico por factores situacionales (postura, alcohol, fatiga, temperatura ambiente), y esa modulación puede ser clínicamente relevante si ciertos desencadenantes están sistemáticamente asociados a noches de mayor severidad.</w:t>
      </w:r>
    </w:p>
    <w:p>
      <w:pPr>
        <w:spacing w:after="160" w:line="276"/>
        <w:jc w:val="both"/>
      </w:pPr>
      <w:r>
        <w:rPr>
          <w:rFonts w:ascii="Arial" w:cs="Arial" w:eastAsia="Arial" w:hAnsi="Arial"/>
        </w:rPr>
        <w:t xml:space="preserve">El agrupamiento de perfiles nocturnos (K = 3) materializa esta perspectiva. Los tres perfiles de trayectoria identificados por el análisis multiescala no describen pacientes distintos sino noches distintas de los mismos pacientes: una misma persona puede contribuir noches a los tres perfiles según los factores situacionales de cada noche. Esta variabilidad no es impredecible: el estado PAC activo en las primeras horas de la noche tiene valor predictivo sobre el perfil que seguirá el resto. La relación entre estos perfiles nocturnos, la composición de morfotipos de los eventos que contienen y el riesgo relativo de severidad se desarrolla en detalle en el análisis de acoplamiento (§9.4), donde la estructura interna de cada perfil se hace explícita a través del coupling index.</w:t>
      </w:r>
    </w:p>
    <w:p>
      <w:pPr>
        <w:pStyle w:val="Heading1"/>
        <w:pBdr>
          <w:bottom w:val="single" w:color="D0D8E4" w:sz="4" w:space="4"/>
        </w:pBdr>
        <w:spacing w:after="160" w:before="320"/>
      </w:pPr>
      <w:r>
        <w:rPr>
          <w:rFonts w:ascii="Arial" w:cs="Arial" w:eastAsia="Arial" w:hAnsi="Arial"/>
          <w:b/>
          <w:bCs/>
          <w:color w:val="1E3A5F"/>
          <w:sz w:val="28"/>
          <w:szCs w:val="28"/>
        </w:rPr>
        <w:t xml:space="preserve">9.4  Acoplamiento morfotipo–estado: la estructura no aleatoria del riesgo nocturno</w:t>
      </w:r>
    </w:p>
    <w:p>
      <w:pPr>
        <w:spacing w:after="160" w:line="276"/>
        <w:jc w:val="both"/>
      </w:pPr>
      <w:r>
        <w:rPr>
          <w:rFonts w:ascii="Arial" w:cs="Arial" w:eastAsia="Arial" w:hAnsi="Arial"/>
        </w:rPr>
        <w:t xml:space="preserve">La pregunta que conecta ambas representaciones (eventos y estados PAC) es si el estado fisiológico activo en el momento de un evento predice su morfología, es decir, si ciertos estados concentran morfotipos severos de manera no aleatoria. Por construcción del pipeline, todo EDO ocurre dentro de algún estado PAC activo; la pregunta analítica no es si se superponen (necesariamente lo hacen) sino si esa superposición tiene estructura no aleatoria: si ciertos estados concentran morfotipos severos de manera que excede la proporción esperable bajo independencia.</w:t>
      </w:r>
    </w:p>
    <w:p>
      <w:pPr>
        <w:spacing w:after="160" w:line="276"/>
        <w:jc w:val="both"/>
      </w:pPr>
      <w:r>
        <w:rPr>
          <w:rFonts w:ascii="Arial" w:cs="Arial" w:eastAsia="Arial" w:hAnsi="Arial"/>
        </w:rPr>
        <w:t xml:space="preserve">El acoplamiento morfotipo–estado es real en las tres escalas (V de Cramér = 0,354 en escala S, 0,230 en M, 0,196 en L; NB05, 80.353 eventos) y sus magnitudes de riesgo relativo son clínicamente interpretables: el estado S6 multiplica por 4,9 la probabilidad de observar un morfotipo severo respecto de la marginal del corpus. Lo que estos valores hacen posible es una afirmación de mayor alcance: el contexto dinámico de la noche transporta información sobre la severidad probable del siguiente evento incluso antes de que ese evento comience, es decir, antes de observar su curva. Los estudios que analizan variabilidad evento a evento en oximetría domiciliaria lo hacen habitualmente sobre índices univariados (duración media, profundidad media de la sesión) sin conectarlos con el estado fisiológico dinámico multiescala de la noche; la cuantificación de este acoplamiento sobre más de 80.000 eventos sin instrumentación adicional ni anotación manual no tiene precedente directo en la literatura de monitoreo domiciliario del SAOS.</w:t>
      </w:r>
    </w:p>
    <w:p>
      <w:pPr>
        <w:spacing w:after="160" w:line="276"/>
        <w:jc w:val="both"/>
      </w:pPr>
      <w:r>
        <w:rPr>
          <w:rFonts w:ascii="Arial" w:cs="Arial" w:eastAsia="Arial" w:hAnsi="Arial"/>
        </w:rPr>
        <w:t xml:space="preserve">La dimensión temporal del acoplamiento es la que conecta directamente con la predicción prospectiva. El análisis de resiliencia post-evento (fracción de casos en que el sistema retorna a un estado protector tras un evento severo) revela un gradiente dramático: la recuperación es posible en la escala de 30 s (43,3 %), rara a los 5 min (12,3 %) y prácticamente inexistente a los 30 min (1,3 %). Esta inercia creciente con la escala tiene una lectura clínica concreta: lo que ocurre a nivel de microdinámica puede revertirse; lo que ocurre dentro de una arquitectura de 30 minutos en estado L0 (hipoxemia sostenida) convierte la noche en un sistema con dinámica colapsada que no se recupera espontáneamente en el horizonte nocturno. Y es precisamente esta inercia la que hace posible la predicción prospectiva: si los estados patológicos son persistentes, la señal de alerta llega antes de que el evento ocurra. El módulo NB08 (Cap08) explota esta propiedad para anticipar eventos severos con un horizonte de H = 5 min.</w:t>
      </w:r>
    </w:p>
    <w:p>
      <w:pPr>
        <w:pStyle w:val="Heading1"/>
        <w:pBdr>
          <w:bottom w:val="single" w:color="D0D8E4" w:sz="4" w:space="4"/>
        </w:pBdr>
        <w:spacing w:after="160" w:before="320"/>
      </w:pPr>
      <w:r>
        <w:rPr>
          <w:rFonts w:ascii="Arial" w:cs="Arial" w:eastAsia="Arial" w:hAnsi="Arial"/>
          <w:b/>
          <w:bCs/>
          <w:color w:val="1E3A5F"/>
          <w:sz w:val="28"/>
          <w:szCs w:val="28"/>
        </w:rPr>
        <w:t xml:space="preserve">9.5  De la caracterización al pronóstico: los modelos de predicción frente a la literatura</w:t>
      </w:r>
    </w:p>
    <w:p>
      <w:pPr>
        <w:pStyle w:val="Heading2"/>
        <w:spacing w:after="120" w:before="240"/>
      </w:pPr>
      <w:r>
        <w:rPr>
          <w:rFonts w:ascii="Arial" w:cs="Arial" w:eastAsia="Arial" w:hAnsi="Arial"/>
          <w:b/>
          <w:bCs/>
          <w:color w:val="1E3A5F"/>
          <w:sz w:val="24"/>
          <w:szCs w:val="24"/>
        </w:rPr>
        <w:t xml:space="preserve">9.5.1  Clasificación retrospectiva vs. predicción prospectiva</w:t>
      </w:r>
    </w:p>
    <w:p>
      <w:pPr>
        <w:spacing w:after="160" w:line="276"/>
        <w:jc w:val="both"/>
      </w:pPr>
      <w:r>
        <w:rPr>
          <w:rFonts w:ascii="Arial" w:cs="Arial" w:eastAsia="Arial" w:hAnsi="Arial"/>
        </w:rPr>
        <w:t xml:space="preserve">El Proyecto PAC produce dos tipos de resultado predictivo que la literatura de monitoreo domiciliario del SAOS raramente evalúa en el mismo framework: la clasificación condicionada (dado que un evento está ocurriendo, ¿cuál es su morfotipo y cuál es el riesgo nocturno acumulado?) y la predicción prospectiva genuina (dado el estado fisiológico ahora, ¿ocurrirá un evento severo en los próximos H minutos, antes de que sea detectable?). La mayoría de los estudios publicados de ML sobre señales de oximetría portátil abordan una u otra tarea, no ambas en el mismo sistema y con la misma cohorte de validación. La diferencia de rendimiento entre los dos módulos —8 puntos de AUC, de 0,905 a nivel nocturno a 0,821 a 5 min— cuantifica el costo informativo de la prospectividad: predecir sin señal de evento en curso es inherentemente más difícil, pero es también la única formulación que habilita la intervención antes de que el evento comience.</w:t>
      </w:r>
    </w:p>
    <w:p>
      <w:pPr>
        <w:spacing w:after="160" w:line="276"/>
        <w:jc w:val="both"/>
      </w:pPr>
      <w:r>
        <w:rPr>
          <w:rFonts w:ascii="Arial" w:cs="Arial" w:eastAsia="Arial" w:hAnsi="Arial"/>
        </w:rPr>
        <w:t xml:space="preserve">En la literatura de predicción de eventos en señales fisiológicas portátiles, el rendimiento del módulo prospectivo (AUC = 0,821 ± 0,022 para H = 5 min) es competitivo con trabajos comparables. Clifton et al. (2015) reportan AUC entre 0,78 y 0,85 para predicción de deterioro clínico en pacientes hospitalizados monitorizados con sensores portátiles, usando horizontes de 1-6 h. La diferencia de escala temporal (horas vs. minutos) refleja diferencias en la velocidad de los procesos fisiopatológicos relevantes: en SAOS, los eventos se desarrollan en segundos a minutos, y un lead time de 5 min es clínicamente suficiente para una intervención de estimulación. En monitoreo hospitalario de sepsis o deterioro hemodinámico, la escala temporal es de horas.</w:t>
      </w:r>
    </w:p>
    <w:p>
      <w:pPr>
        <w:spacing w:after="160" w:line="276"/>
        <w:jc w:val="both"/>
      </w:pPr>
      <w:r>
        <w:rPr>
          <w:rFonts w:ascii="Arial" w:cs="Arial" w:eastAsia="Arial" w:hAnsi="Arial"/>
        </w:rPr>
        <w:t xml:space="preserve">Un precedente más cercano es el trabajo de Behar et al. (2019) sobre predicción de desaturaciones nocturnas con señales de oxímetro de pulso portátil, que reporta AUC de 0,75-0,82 en ventanas de análisis de 5-10 min. El sistema PAC obtiene resultados comparables pero con la ventaja adicional de la validación LOPO-CV estricta: cada fold excluye todas las noches de un paciente, lo que previene la inflación del AUC por dependencia longitudinal (un problema metodológico frecuente en la literatura de ML en señales biomédicas, donde la partición aleatoria de ventanas ignora la estructura jerárquica de los datos: paciente, noche, ventana).</w:t>
      </w:r>
    </w:p>
    <w:p>
      <w:pPr>
        <w:pStyle w:val="Heading2"/>
        <w:spacing w:after="120" w:before="240"/>
      </w:pPr>
      <w:r>
        <w:rPr>
          <w:rFonts w:ascii="Arial" w:cs="Arial" w:eastAsia="Arial" w:hAnsi="Arial"/>
          <w:b/>
          <w:bCs/>
          <w:color w:val="1E3A5F"/>
          <w:sz w:val="24"/>
          <w:szCs w:val="24"/>
        </w:rPr>
        <w:t xml:space="preserve">9.5.2  Importancia de features: la posición temporal y la historia dinámica</w:t>
      </w:r>
    </w:p>
    <w:p>
      <w:pPr>
        <w:spacing w:after="160" w:line="276"/>
        <w:jc w:val="both"/>
      </w:pPr>
      <w:r>
        <w:rPr>
          <w:rFonts w:ascii="Arial" w:cs="Arial" w:eastAsia="Arial" w:hAnsi="Arial"/>
        </w:rPr>
        <w:t xml:space="preserve">La literatura cronobiológica del SAOS documentó que la distribución de eventos severos no es uniforme a lo largo de la noche: en una fracción de pacientes, los episodios de mayor severidad se concentran en la segunda mitad del registro, posiblemente en asociación con la mayor proporción de sueño REM (Lévy et al., 2015). Este antecedente hace esperable que la posición temporal dentro de la noche sea un predictor informativo —y así resulta: window_position domina la jerarquía de features en todos los horizontes del módulo prospectivo. El hallazgo interpretativo no trivial es que, pese a esa dominancia, el perfil de riesgo predicho es plano a lo largo de los deciles de la noche, sin un pico temporal claro. Este aparente paradoja sugiere que window_position no captura una concentración temporal sistemática del riesgo en la segunda mitad de la noche: en cambio, opera como covariable de contexto que interactúa con el estado PAC activo y el historial acumulado para estimar el riesgo local, sin que esa interacción se traduzca en un perfil de riesgo creciente o decreciente globalmente. En otras palabras, el momento importa, pero no de la manera que la cronobiología del SAOS sugeriría a priori.</w:t>
      </w:r>
    </w:p>
    <w:p>
      <w:pPr>
        <w:spacing w:after="160" w:line="276"/>
        <w:jc w:val="both"/>
      </w:pPr>
      <w:r>
        <w:rPr>
          <w:rFonts w:ascii="Arial" w:cs="Arial" w:eastAsia="Arial" w:hAnsi="Arial"/>
        </w:rPr>
        <w:t xml:space="preserve">El ci_sofar (historia dinámica acumulada del acoplamiento) es el predictor que más directamente materializa la hipótesis conceptual del proyecto: la severidad futura no es independiente del contexto dinámico pasado. Un paciente que ha pasado las últimas horas en estados de alto acoplamiento (ci_sofar elevado) presenta mayor probabilidad de que el próximo evento sea severo. Este resultado es la validación prospectiva de la estructura de acoplamiento descrita anteriormente: si el acoplamiento fuera un artefacto espurio del clustering, no debería predecir eventos futuros con la consistencia observada.</w:t>
      </w:r>
    </w:p>
    <w:p>
      <w:pPr>
        <w:pStyle w:val="Heading2"/>
        <w:spacing w:after="120" w:before="240"/>
      </w:pPr>
      <w:r>
        <w:rPr>
          <w:rFonts w:ascii="Arial" w:cs="Arial" w:eastAsia="Arial" w:hAnsi="Arial"/>
          <w:b/>
          <w:bCs/>
          <w:color w:val="1E3A5F"/>
          <w:sz w:val="24"/>
          <w:szCs w:val="24"/>
        </w:rPr>
        <w:t xml:space="preserve">9.5.3  El lead time de 5 min como condición algorítmica mínima</w:t>
      </w:r>
    </w:p>
    <w:p>
      <w:pPr>
        <w:spacing w:after="160" w:line="276"/>
        <w:jc w:val="both"/>
      </w:pPr>
      <w:r>
        <w:rPr>
          <w:rFonts w:ascii="Arial" w:cs="Arial" w:eastAsia="Arial" w:hAnsi="Arial"/>
        </w:rPr>
        <w:t xml:space="preserve">El Cap08 cierra con la afirmación de que el módulo NB08 establece la condición algorítmica mínima para que una intervención adaptativa sea plausible. Desde la perspectiva de la Discusión, esta afirmación merece situarse en el marco metodológico más amplio del desarrollo de dispositivos médicos adaptativos. En ese marco, la cadena de validación estándar distingue tres fases secuenciales: la validación analítica (¿las representaciones contienen información predictiva?), la validación de factibilidad (¿existe horizonte temporal suficiente para que una intervención sea posible?) y la validación clínica (¿actuar sobre esa predicción tiene efecto terapéutico?). El Proyecto PAC completa las dos primeras: las representaciones PAC contienen información predictiva prospectiva generalizable entre pacientes, y el horizonte de H = 5 min supera el margen de activación requerido por el estimulador transcutáneo del SOMNI 6000 —que según las especificaciones del protocolo del dispositivo necesita ser activado con al menos 90 segundos de anticipación para que la respuesta autonómica sea efectiva— por un factor mayor a 3. La tercera fase (el ensayo clínico controlado) es trabajo futuro explícito. Esta separación deliberada entre lo que la evidencia analítica establece y lo que requiere validación prospectiva es metodológicamente necesaria y coherente con los estándares regulatorios de dispositivos médicos adaptativos.</w:t>
      </w:r>
    </w:p>
    <w:p>
      <w:pPr>
        <w:spacing w:after="160" w:line="276"/>
        <w:jc w:val="both"/>
      </w:pPr>
      <w:r>
        <w:rPr>
          <w:rFonts w:ascii="Arial" w:cs="Arial" w:eastAsia="Arial" w:hAnsi="Arial"/>
        </w:rPr>
        <w:t xml:space="preserve">Este tipo de argumento (demostrar la condición algorítmica mínima antes de diseñar el ensayo clínico) es consistente con la metodología estándar de desarrollo de dispositivos médicos adaptativos, donde la validación analítica precede a la validación clínica. La cadena de evidencia propuesta por el Proyecto PAC sigue esta lógica: los módulos de caracterización establecen que las representaciones PAC contienen información diagnóstica de valor clínico; el módulo prospectivo establece que esa información transporta contenido predictivo con horizonte temporal suficiente; el ensayo clínico, como trabajo futuro, evaluaría si actuar sobre esa predicción tiene efecto terapéutico.</w:t>
      </w:r>
    </w:p>
    <w:p>
      <w:pPr>
        <w:pStyle w:val="Heading1"/>
        <w:pBdr>
          <w:bottom w:val="single" w:color="D0D8E4" w:sz="4" w:space="4"/>
        </w:pBdr>
        <w:spacing w:after="160" w:before="320"/>
      </w:pPr>
      <w:r>
        <w:rPr>
          <w:rFonts w:ascii="Arial" w:cs="Arial" w:eastAsia="Arial" w:hAnsi="Arial"/>
          <w:b/>
          <w:bCs/>
          <w:color w:val="1E3A5F"/>
          <w:sz w:val="28"/>
          <w:szCs w:val="28"/>
        </w:rPr>
        <w:t xml:space="preserve">9.6  Oximetría domiciliaria como plataforma de fenotipado: alcances y comparación con el PSG</w:t>
      </w:r>
    </w:p>
    <w:p>
      <w:pPr>
        <w:spacing w:after="160" w:line="276"/>
        <w:jc w:val="both"/>
      </w:pPr>
      <w:r>
        <w:rPr>
          <w:rFonts w:ascii="Arial" w:cs="Arial" w:eastAsia="Arial" w:hAnsi="Arial"/>
        </w:rPr>
        <w:t xml:space="preserve">La discusión sobre el posicionamiento de la oximetría domiciliaria frente a la PSG quedó establecida en el marco teórico: el monitoreo domiciliario no reemplaza a la PSG para el diagnóstico integral del SAOS, sino que habilita un enfoque complementario orientado al análisis longitudinal en condiciones reales. Lo que los resultados del Proyecto PAC permiten añadir a ese posicionamiento es una afirmación más precisa sobre qué dimensiones la oximetría domiciliaria puede y no puede abordar.</w:t>
      </w:r>
    </w:p>
    <w:p>
      <w:pPr>
        <w:spacing w:after="160" w:line="276"/>
        <w:jc w:val="both"/>
      </w:pPr>
      <w:r>
        <w:rPr>
          <w:rFonts w:ascii="Arial" w:cs="Arial" w:eastAsia="Arial" w:hAnsi="Arial"/>
        </w:rPr>
        <w:t xml:space="preserve">El PSG convencional registra SpO₂ de forma continua y, en principio, podría producir las mismas curvas morfológicas de evento que el SOMNI 6000. Lo que PSG no fue diseñada para hacer —y que su protocolo de laboratorio de una sola noche no permite— es el análisis morfológico no supervisado sobre corpus de decenas de miles de eventos, ni la caracterización de la variabilidad dinámica intraindividual que requiere noches consecutivas en condiciones habituales del paciente. La ventaja analítica del pipeline PAC_v3 sobre la PSG convencional no reside en el tipo de sensor sino en el diseño longitudinal domiciliario: 553 noches de calidad de 12 pacientes generan un corpus cuya escala y representatividad de las condiciones reales del sueño no es reproducible en laboratorio. Lo que el PSG captura en una noche en condiciones controladas, el pipeline PAC lo captura en decenas de noches en las condiciones donde el SAOS realmente ocurre.</w:t>
      </w:r>
    </w:p>
    <w:p>
      <w:pPr>
        <w:spacing w:after="160" w:line="276"/>
        <w:jc w:val="both"/>
      </w:pPr>
      <w:r>
        <w:rPr>
          <w:rFonts w:ascii="Arial" w:cs="Arial" w:eastAsia="Arial" w:hAnsi="Arial"/>
        </w:rPr>
        <w:t xml:space="preserve">La afirmación central de la tesis en este plano es que la oximetría portátil de un único sensor, adecuadamente procesada mediante el pipeline PAC_v3, puede producir representaciones fenotípicas de la fisiología nocturna que las señales clásicas de PSG no producen habitualmente: morfotipos de la curva SpO₂ a escala de evento, estados dinámicos multiescala y acoplamiento cuantificado sobre 80.000 eventos. Esto no invalida al PSG como gold standard diagnóstico; es una afirmación sobre qué tipo de análisis habilita el diseño longitudinal domiciliario que PSG, por diseño, no realiza. La pregunta empírica que queda abierta es cuánta información adicional aportaría el EEG y las señales adicionales del PSG sobre los morfotipos y estados ya identificados: comparar los resultados del pipeline PAC sobre la cohorte actual con los obtenidos sobre una cohorte con PSG simultánea permitiría cuantificar esa ganancia incremental. Esta comparación queda como trabajo futuro explícito.</w:t>
      </w:r>
    </w:p>
    <w:p>
      <w:pPr>
        <w:pStyle w:val="Heading1"/>
        <w:pBdr>
          <w:bottom w:val="single" w:color="D0D8E4" w:sz="4" w:space="4"/>
        </w:pBdr>
        <w:spacing w:after="160" w:before="320"/>
      </w:pPr>
      <w:r>
        <w:rPr>
          <w:rFonts w:ascii="Arial" w:cs="Arial" w:eastAsia="Arial" w:hAnsi="Arial"/>
          <w:b/>
          <w:bCs/>
          <w:color w:val="1E3A5F"/>
          <w:sz w:val="28"/>
          <w:szCs w:val="28"/>
        </w:rPr>
        <w:t xml:space="preserve">9.7  Hacia la terapéutica automática del SAOS severo: condición algorítmica y agenda clínica</w:t>
      </w:r>
    </w:p>
    <w:p>
      <w:pPr>
        <w:pStyle w:val="Heading2"/>
        <w:spacing w:after="120" w:before="240"/>
      </w:pPr>
      <w:r>
        <w:rPr>
          <w:rFonts w:ascii="Arial" w:cs="Arial" w:eastAsia="Arial" w:hAnsi="Arial"/>
          <w:b/>
          <w:bCs/>
          <w:color w:val="1E3A5F"/>
          <w:sz w:val="24"/>
          <w:szCs w:val="24"/>
        </w:rPr>
        <w:t xml:space="preserve">9.7.1  Lo que esta tesis establece</w:t>
      </w:r>
    </w:p>
    <w:p>
      <w:pPr>
        <w:spacing w:after="160" w:line="276"/>
        <w:jc w:val="both"/>
      </w:pPr>
      <w:r>
        <w:rPr>
          <w:rFonts w:ascii="Arial" w:cs="Arial" w:eastAsia="Arial" w:hAnsi="Arial"/>
        </w:rPr>
        <w:t xml:space="preserve">Las secciones precedentes de este capítulo discutieron cada componente del Proyecto PAC frente a la literatura: el fenotipado morfológico (§9.2), los estados dinámicos (§9.3), el acoplamiento (§9.4), los modelos predictivos (§9.5) y la plataforma domiciliaria (§9.6). Lo que §9.7 agrega es la lectura integrada de ese arco: qué habilita el conjunto y qué queda fuera de su alcance. La lectura integrada es esta: el Proyecto PAC construyó, sobre señales de un único sensor domiciliario, una cadena de representaciones que va del evento individual al fenotipo longitudinal del paciente, y demostró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§9.7 articula.</w:t>
      </w:r>
    </w:p>
    <w:p>
      <w:pPr>
        <w:pStyle w:val="Heading2"/>
        <w:spacing w:after="120" w:before="240"/>
      </w:pPr>
      <w:r>
        <w:rPr>
          <w:rFonts w:ascii="Arial" w:cs="Arial" w:eastAsia="Arial" w:hAnsi="Arial"/>
          <w:b/>
          <w:bCs/>
          <w:color w:val="1E3A5F"/>
          <w:sz w:val="24"/>
          <w:szCs w:val="24"/>
        </w:rPr>
        <w:t xml:space="preserve">9.7.2  La heterogeneidad inter-paciente como barrera principal</w:t>
      </w:r>
    </w:p>
    <w:p>
      <w:pPr>
        <w:spacing w:after="160" w:line="276"/>
        <w:jc w:val="both"/>
      </w:pPr>
      <w:r>
        <w:rPr>
          <w:rFonts w:ascii="Arial" w:cs="Arial" w:eastAsia="Arial" w:hAnsi="Arial"/>
        </w:rPr>
        <w:t xml:space="preserve">El SAOS es, por definición, una condición heterogénea: su fisiopatología varía entre pacientes, su severidad varía entre noches del mismo paciente, y su respuesta a distintas formas de tratamiento no es uniforme. Esta heterogeneidad, que la literatura clínica del SAOS discute hace décadas, tiene una manifestación concreta y cuantificada en el módulo NB08: la prevalencia de eventos severos varía 20 veces entre los pacientes de la cohorte (1,6 %–32,1 %). Un sistema de activación calibrado globalmente sobre ese rango sería, en el mejor caso, adecuado para los pacientes del centro de la distribución y subóptimo para todos los demás. La implicancia no es que el sistema no funcione: es que su traslación clínica requiere calibración individual como primera etapa, no como optimización opcional. El diseño natural para esa calibración —un período de caracterización domiciliaria sin activación del estimulador, que el protocolo del SOMNI 6000 ya contempla— es también la fuente de los parámetros individuales que el pipeline PAC necesita para ajustar el umbral de activación de cada paciente.</w:t>
      </w:r>
    </w:p>
    <w:p>
      <w:pPr>
        <w:spacing w:after="160" w:line="276"/>
        <w:jc w:val="both"/>
      </w:pPr>
      <w:r>
        <w:rPr>
          <w:rFonts w:ascii="Arial" w:cs="Arial" w:eastAsia="Arial" w:hAnsi="Arial"/>
        </w:rPr>
        <w:t xml:space="preserve">La relación entre prevalencia y discriminación que emerge del corpus tiene una implicancia más general para el diseño de sistemas de alerta en SAOS. El paciente de menor prevalencia de la cohorte (1,6 % de ventanas positivas) muestra paradójicamente el AUC más alto en todos los horizontes (0,87–0,84). Este resultado, documentado en el módulo NB08, sugiere que la discriminación es más alta cuando los eventos severos son fisiológicamente inusuales para ese paciente: el sistema PAC los anticipa bien precisamente porque el estado fisiológico previo a esos eventos contrasta con el estado habitual de ese individuo. La implicancia inversa es inquietante: los pacientes de mayor carga hipóxica (SAOS severo con hipoxemia basal persistente) podrían ser los más difíciles de anticipar algorítmicamente, no porque el sistema PAC falle en detectar la señal, sino porque en ellos los eventos severos son el estado habitual y no el estado excepcional. La discriminación requiere contraste; cuando el estado de riesgo es crónico, ese contraste se erosiona.</w:t>
      </w:r>
    </w:p>
    <w:p>
      <w:pPr>
        <w:pStyle w:val="Heading2"/>
        <w:spacing w:after="120" w:before="240"/>
      </w:pPr>
      <w:r>
        <w:rPr>
          <w:rFonts w:ascii="Arial" w:cs="Arial" w:eastAsia="Arial" w:hAnsi="Arial"/>
          <w:b/>
          <w:bCs/>
          <w:color w:val="1E3A5F"/>
          <w:sz w:val="24"/>
          <w:szCs w:val="24"/>
        </w:rPr>
        <w:t xml:space="preserve">9.7.3  La circularidad PAC y el requisito de validación externa</w:t>
      </w:r>
    </w:p>
    <w:p>
      <w:pPr>
        <w:spacing w:after="160" w:line="276"/>
        <w:jc w:val="both"/>
      </w:pPr>
      <w:r>
        <w:rPr>
          <w:rFonts w:ascii="Arial" w:cs="Arial" w:eastAsia="Arial" w:hAnsi="Arial"/>
        </w:rPr>
        <w:t xml:space="preserve">La circularidad potencial de las representaciones PAC —discutida técnicamente en el módulo NB08— tiene una implicancia que trasciende el problema metodológico interno: condiciona la replicabilidad del pipeline en cualquier nueva cohorte. Las dos estrategias de resolución (validación en cohorte externa con clusters aprendidos de forma independiente, o reconstrucción within-fold) no son equivalentes en lo que demuestran. La cohorte externa demostraría que los morfotipos y estados PAC son transferibles: que la taxonomía construida sobre 12 pacientes captura propiedades fisiológicas genéricas del SAOS, no idiosincrasias de esa cohorte particular. La reconstrucción within-fold demostraría que el AUC es metodológicamente limpio pero no resuelve la pregunta de transferibilidad. Para los fines de traslación clínica, la cohorte externa es la prueba que importa: si los morfotipos C1–C5 y los estados S/M/L se reproducen en una cohorte independiente con distribución demográfica diferente, el pipeline PAC puede considerarse un instrumento de caracterización generalizable, no un sistema sobreajustado a sus datos de origen.</w:t>
      </w:r>
    </w:p>
    <w:p>
      <w:pPr>
        <w:pStyle w:val="Heading2"/>
        <w:spacing w:after="120" w:before="240"/>
      </w:pPr>
      <w:r>
        <w:rPr>
          <w:rFonts w:ascii="Arial" w:cs="Arial" w:eastAsia="Arial" w:hAnsi="Arial"/>
          <w:b/>
          <w:bCs/>
          <w:color w:val="1E3A5F"/>
          <w:sz w:val="24"/>
          <w:szCs w:val="24"/>
        </w:rPr>
        <w:t xml:space="preserve">9.7.4  El camino al ensayo clínico controlado</w:t>
      </w:r>
    </w:p>
    <w:p>
      <w:pPr>
        <w:spacing w:after="160" w:line="276"/>
        <w:jc w:val="both"/>
      </w:pPr>
      <w:r>
        <w:rPr>
          <w:rFonts w:ascii="Arial" w:cs="Arial" w:eastAsia="Arial" w:hAnsi="Arial"/>
        </w:rPr>
        <w:t xml:space="preserve">El diseño de un ensayo clínico controlado para evaluar la eficacia terapéutica de la estimulación basada en el estado PAC requeriría, como mínimo: (a) una cohorte de 30-50 pacientes con SAOS moderado-severo, con PSG basal para confirmar el diagnóstico; (b) una fase de caracterización domiciliaria de 7-14 noches sin estimulación para estimar los parámetros individuales del pipeline PAC; (c) asignación aleatoria a estimulación activa vs. placebo (estimulador inactivo) durante un período de seguimiento de 4-8 semanas; y (d) evaluación de desenlaces primarios (ODI3, T90, carga hipóxica) y secundarios (calidad de sueño subjetiva, somnolencia diurna, presión arterial). Lo que distingue este diseño de un ensayo estándar de CPAP es la fase de caracterización: los 7-14 días sin estimulación no son solo un período de rodaje del dispositivo, sino la fuente de los parámetros individuales —prevalencia de eventos severos, umbral de activación, perfil de estados PAC habituales— que el módulo NB08 necesita para operar de forma personalizada. Esa fase sirve simultáneamente para estimar el umbral individual y para confirmar el fenotipo PAC antes de la aleatorización, una eficiencia de diseño que los ensayos de CPAP convencional no tienen porque CPAP no requiere calibración individual previa. El modelo de referencia metodológico más cercano es el de los estudios de auto-CPAP con titulación domiciliaria (Lévy et al., 2015), donde la primera semana de monitoreo fija los parámetros de presión antes de la fase terapéutica aleatorizada.</w:t>
      </w:r>
    </w:p>
    <w:p>
      <w:pPr>
        <w:pStyle w:val="Heading1"/>
        <w:pBdr>
          <w:bottom w:val="single" w:color="D0D8E4" w:sz="4" w:space="4"/>
        </w:pBdr>
        <w:spacing w:after="160" w:before="320"/>
      </w:pPr>
      <w:r>
        <w:rPr>
          <w:rFonts w:ascii="Arial" w:cs="Arial" w:eastAsia="Arial" w:hAnsi="Arial"/>
          <w:b/>
          <w:bCs/>
          <w:color w:val="1E3A5F"/>
          <w:sz w:val="28"/>
          <w:szCs w:val="28"/>
        </w:rPr>
        <w:t xml:space="preserve">9.8  Limitaciones integradas del arco analítico</w:t>
      </w:r>
    </w:p>
    <w:p>
      <w:pPr>
        <w:spacing w:after="160" w:line="276"/>
        <w:jc w:val="both"/>
      </w:pPr>
      <w:r>
        <w:rPr>
          <w:rFonts w:ascii="Arial" w:cs="Arial" w:eastAsia="Arial" w:hAnsi="Arial"/>
        </w:rPr>
        <w:t xml:space="preserve">Las limitaciones del Proyecto PAC han sido discutidas en cada capítulo de resultados. Lo que importa reconocer en este cierre es que no se trata de limitaciones independientes: interactúan y su efecto combinado define un perfil específico de generalizabilidad. La cohorte es pequeña (n = 8 para los módulos supervisados) y reclutada en un único centro privado especializado, lo que significa que el universe de pacientes representados es el del SAOS moderado-severo diagnosticado que busca atención. Las representaciones PAC fueron construidas sobre esa misma cohorte y validadas con LOPO-CV, que controla la dependencia longitudinal pero no elimina la circularidad. Las probabilidades de los modelos prospectivos no están calibradas en términos absolutos. El estimulador transcutáneo del SOMNI 6000 permanece como hipótesis operacional sin evaluación terapéutica.</w:t>
      </w:r>
    </w:p>
    <w:p>
      <w:pPr>
        <w:spacing w:after="160" w:line="276"/>
        <w:jc w:val="both"/>
      </w:pPr>
      <w:r>
        <w:rPr>
          <w:rFonts w:ascii="Arial" w:cs="Arial" w:eastAsia="Arial" w:hAnsi="Arial"/>
        </w:rPr>
        <w:t xml:space="preserve">La interacción entre estas limitaciones produce un corolario claro sobre qué tipo de evidencia puede y no puede extraerse de estos resultados: la discriminación (AUC, AP) y la consistencia entre folds LOPO-CV son confiables; la calibración absoluta de las probabilidades, no lo es sin ajuste externo; la generalización a pacientes con SAOS leve o sin diagnóstico, no es posible sin cohorte de validación con diferente distribución demográfica y clínica; y la efectividad terapéutica requiere el ensayo controlado explicitado en §9.7.4. Las dos primeras limitaciones (tamaño muestral y sesgo de selección) son estructurales para esta cohorte; las dos segundas (circularidad y ausencia de PSG) se resuelven parcialmente con el diseño de cohorte externa descrito en §9.7.3. La quinta (hipótesis del estimulador) es independiente de cualquier extensión analítica del pipeline y pertenece al dominio clínico.</w:t>
      </w:r>
    </w:p>
    <w:p>
      <w:pPr>
        <w:spacing w:after="160" w:line="276"/>
        <w:jc w:val="both"/>
      </w:pPr>
      <w:r>
        <w:rPr>
          <w:rFonts w:ascii="Arial" w:cs="Arial" w:eastAsia="Arial" w:hAnsi="Arial"/>
          <w:b/>
          <w:bCs/>
        </w:rPr>
        <w:t xml:space="preserve">Sesgo de selección y representatividad poblacional. </w:t>
      </w:r>
      <w:r>
        <w:rPr>
          <w:rFonts w:ascii="Arial" w:cs="Arial" w:eastAsia="Arial" w:hAnsi="Arial"/>
        </w:rPr>
        <w:t xml:space="preserve">Los 12 participantes fueron reclutados en una práctica médica privada especializada: todos presentaban sospecha clínica de SAOS y sobrerepresentan el rango moderado-severo. El SAOS afecta al 9-38 % de los adultos según criterios y demografía (Benjafield et al., 2019); la cohorte PAC no cubre ese espectro completo. Cualquier traslación del pipeline a contextos de tamizaje poblacional o monitoreo de SAOS leve requiere una cohorte de validación sustancialmente diferente en composición clínica.</w:t>
      </w:r>
    </w:p>
    <w:p>
      <w:pPr>
        <w:spacing w:after="160" w:line="276"/>
        <w:jc w:val="both"/>
      </w:pPr>
      <w:r>
        <w:rPr>
          <w:rFonts w:ascii="Arial" w:cs="Arial" w:eastAsia="Arial" w:hAnsi="Arial"/>
          <w:b/>
          <w:bCs/>
        </w:rPr>
        <w:t xml:space="preserve">Ausencia de PSG simultánea. </w:t>
      </w:r>
      <w:r>
        <w:rPr>
          <w:rFonts w:ascii="Arial" w:cs="Arial" w:eastAsia="Arial" w:hAnsi="Arial"/>
        </w:rPr>
        <w:t xml:space="preserve">La cohorte no dispone de polisomnografía paralela a los registros domiciliarios. Esto impide comparar los morfotipos C1–C5 y los estados PAC con los estadios del sueño convencionales, y limita la calibración del ODI3 como subrogante del AHI a la literatura publicada en lugar de a datos propios.</w:t>
      </w:r>
    </w:p>
    <w:p>
      <w:pPr>
        <w:spacing w:after="160" w:line="276"/>
        <w:jc w:val="both"/>
      </w:pPr>
      <w:r>
        <w:rPr>
          <w:rFonts w:ascii="Arial" w:cs="Arial" w:eastAsia="Arial" w:hAnsi="Arial"/>
          <w:b/>
          <w:bCs/>
        </w:rPr>
        <w:t xml:space="preserve">Circularidad PAC. </w:t>
      </w:r>
      <w:r>
        <w:rPr>
          <w:rFonts w:ascii="Arial" w:cs="Arial" w:eastAsia="Arial" w:hAnsi="Arial"/>
        </w:rPr>
        <w:t xml:space="preserve">Como se detalló en §9.7.3, los modelos no supervisados que definen las representaciones PAC fueron construidos sobre la misma cohorte que los modelos supervisados. La validación LOPO-CV mitiga pero no elimina la circularidad. Este es el límite metodológico más relevante del arco analítico y el que la cohorte externa resolvería directamente.</w:t>
      </w:r>
    </w:p>
    <w:p>
      <w:pPr>
        <w:spacing w:after="160" w:line="276"/>
        <w:jc w:val="both"/>
      </w:pPr>
      <w:r>
        <w:rPr>
          <w:rFonts w:ascii="Arial" w:cs="Arial" w:eastAsia="Arial" w:hAnsi="Arial"/>
          <w:b/>
          <w:bCs/>
        </w:rPr>
        <w:t xml:space="preserve">Calibración de probabilidades. </w:t>
      </w:r>
      <w:r>
        <w:rPr>
          <w:rFonts w:ascii="Arial" w:cs="Arial" w:eastAsia="Arial" w:hAnsi="Arial"/>
        </w:rPr>
        <w:t xml:space="preserve">Los modelos LightGBM producen probabilidades con sobreestimación de aproximadamente 4 veces para el módulo prospectivo; las métricas de discriminación (AUC, AP) son robustas. Un sistema de activación clínica requeriría calibración explícita (Platt scaling o isotónica) antes de cualquier uso operacional.</w:t>
      </w:r>
    </w:p>
    <w:p>
      <w:pPr>
        <w:spacing w:after="160" w:line="276"/>
        <w:jc w:val="both"/>
      </w:pPr>
      <w:r>
        <w:rPr>
          <w:rFonts w:ascii="Arial" w:cs="Arial" w:eastAsia="Arial" w:hAnsi="Arial"/>
          <w:b/>
          <w:bCs/>
        </w:rPr>
        <w:t xml:space="preserve">Efecto del estimulador: hipótesis no evaluada. </w:t>
      </w:r>
      <w:r>
        <w:rPr>
          <w:rFonts w:ascii="Arial" w:cs="Arial" w:eastAsia="Arial" w:hAnsi="Arial"/>
        </w:rPr>
        <w:t xml:space="preserve">Toda la cadena de razonamiento sobre la habilitación de la estimulación transcutánea se apoya en la hipótesis de que el estímulo eléctrico genera una respuesta autonómica que reduce la probabilidad o severidad del evento anticipado. Esta hipótesis es plausible fisiopatológicamente pero no ha sido evaluada en esta tesis. La distinción entre factibilidad algorítmica y eficacia terapéutica debe mantenerse explícita en cualquier comunicación de estos resultados.</w:t>
      </w:r>
    </w:p>
    <w:p>
      <w:pPr>
        <w:pStyle w:val="Heading1"/>
        <w:pBdr>
          <w:bottom w:val="single" w:color="D0D8E4" w:sz="4" w:space="4"/>
        </w:pBdr>
        <w:spacing w:after="160" w:before="320"/>
      </w:pPr>
      <w:r>
        <w:rPr>
          <w:rFonts w:ascii="Arial" w:cs="Arial" w:eastAsia="Arial" w:hAnsi="Arial"/>
          <w:b/>
          <w:bCs/>
          <w:color w:val="1E3A5F"/>
          <w:sz w:val="28"/>
          <w:szCs w:val="28"/>
        </w:rPr>
        <w:t xml:space="preserve">9.9  Síntesis: la cadena EDO → Estados → Acople → Fenotipia → Predicción como contribución unificada</w:t>
      </w:r>
    </w:p>
    <w:p>
      <w:pPr>
        <w:spacing w:after="160" w:line="276"/>
        <w:jc w:val="both"/>
      </w:pPr>
      <w:r>
        <w:rPr>
          <w:rFonts w:ascii="Arial" w:cs="Arial" w:eastAsia="Arial" w:hAnsi="Arial"/>
        </w:rPr>
        <w:t xml:space="preserve">La contribución central del Proyecto PAC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en el momento del evento predice su morfotipo probable (acoplamiento), la historia de coupling acumulada predice los eventos futuros (módulo prospectivo), y el fenotipo de trayectoria nocturna predice el riesgo de noche de alta carga hipóxica (modelado nocturno).</w:t>
      </w:r>
    </w:p>
    <w:p>
      <w:pPr>
        <w:spacing w:after="160" w:line="276"/>
        <w:jc w:val="both"/>
      </w:pPr>
      <w:r>
        <w:rPr>
          <w:rFonts w:ascii="Arial" w:cs="Arial" w:eastAsia="Arial" w:hAnsi="Arial"/>
        </w:rPr>
        <w:t xml:space="preserve">Esta caracterización del PAC como representación intermedia entre el índice escalar (ODI3, T90) y la señal cruda (SpO₂ bruta) no emerge de los resultados: fue la hipótesis de diseño del proyecto desde su conceptualización en el marco teórico (Cap02). Lo que los resultados permiten confirmar es que esa hipótesis se realizó operacionalmente: las representaciones PAC son compactas (vector de aproximadamente 146 features por noche), interpretables (cada feature tiene un correlato fisiológico explícito) y predictivamente útiles (los modelos que las utilizan superan de forma consistente a los baselines). Los índices escalares comprimen demasiado: pierden estructura temporal y morfológica. La señal cruda es demasiado densa para ser interpretable clínicamente o procesable eficientemente por un modelo predictivo. Las representaciones PAC operan en el espacio que queda entre ambos extremos, y los cinco módulos del proyecto ofrecen evidencia convergente de que ese espacio contiene información diagnóstica y predictiva que los índices convencionales descartan.</w:t>
      </w:r>
    </w:p>
    <w:p>
      <w:pPr>
        <w:spacing w:after="160" w:line="276"/>
        <w:jc w:val="both"/>
      </w:pPr>
      <w:r>
        <w:rPr>
          <w:rFonts w:ascii="Arial" w:cs="Arial" w:eastAsia="Arial" w:hAnsi="Arial"/>
        </w:rPr>
        <w:t xml:space="preserve">Frente a la literatura, las tres contribuciones principales del proyecto pueden situarse con precisión. La primera (el fenotipado morfológico de 85.277 eventos mediante K-means sobre curvas PCA-reducidas) no tiene precedente a esa escala en la literatura de oximetría portátil y propone un marco operacional transferible a otras cohortes. La segunda (la cuantificación de la especialización funcional de los estados PAC multiescala) amplía los resultados previos de análisis dinámico del sueño al mostrar que diferentes escalas temporales predicen dimensiones distintas de la severidad nocturna, un hallazgo con implicaciones para el diseño de sistemas de monitoreo adaptativo. La tercera (la predicción prospectiva con horizonte clínico: AUC = 0,821, H = 5 min) establece la condición algorítmica mínima para una intervención terapéutica basada en el estado fisiológico, un resultado que, si se replica en una cohorte externa y se valida en ensayo controlado, podría tener impacto directo en el diseño de dispositivos de terapia adaptativa del SAOS.</w:t>
      </w:r>
    </w:p>
    <w:p>
      <w:pPr>
        <w:spacing w:after="160" w:line="276"/>
        <w:jc w:val="both"/>
      </w:pPr>
      <w:r>
        <w:rPr>
          <w:rFonts w:ascii="Arial" w:cs="Arial" w:eastAsia="Arial" w:hAnsi="Arial"/>
        </w:rPr>
        <w:t xml:space="preserve">La agenda de validación que permite avanzar desde esos resultados fue articulada en §9.7 y sus líneas de continuidad se desarrollan en el Capítulo 10 como parte de las conclusiones y trabajos futuros del proyecto.</w:t>
      </w:r>
    </w:p>
    <w:p>
      <w:r>
        <w:br w:type="page"/>
      </w:r>
    </w:p>
    <w:p>
      <w:pPr>
        <w:pStyle w:val="Heading1"/>
        <w:pBdr>
          <w:bottom w:val="single" w:color="D0D8E4" w:sz="4" w:space="4"/>
        </w:pBdr>
        <w:spacing w:after="160" w:before="320"/>
      </w:pPr>
      <w:r>
        <w:rPr>
          <w:rFonts w:ascii="Arial" w:cs="Arial" w:eastAsia="Arial" w:hAnsi="Arial"/>
          <w:b/>
          <w:bCs/>
          <w:color w:val="1E3A5F"/>
          <w:sz w:val="28"/>
          <w:szCs w:val="28"/>
        </w:rPr>
        <w:t xml:space="preserve">Referencias</w:t>
      </w:r>
    </w:p>
    <w:p>
      <w:pPr>
        <w:spacing w:after="100"/>
        <w:ind w:left="720" w:hanging="720"/>
        <w:jc w:val="both"/>
      </w:pPr>
      <w:r>
        <w:rPr>
          <w:rFonts w:ascii="Arial" w:cs="Arial" w:eastAsia="Arial" w:hAnsi="Arial"/>
          <w:sz w:val="18"/>
          <w:szCs w:val="18"/>
        </w:rPr>
        <w:t xml:space="preserve">Álvarez, D., Gutiérrez-Tobal, G. C., Vaquerizo-Villar, F., et al. (2022). Oximetry indices in the management of sleep apnea: from overnight minimum saturation to the novel hypoxemia measures. Advances in Experimental Medicine and Biology. https://pubmed.ncbi.nlm.nih.gov/36217087</w:t>
      </w:r>
    </w:p>
    <w:p>
      <w:pPr>
        <w:spacing w:after="100"/>
        <w:ind w:left="720" w:hanging="720"/>
        <w:jc w:val="both"/>
      </w:pPr>
      <w:r>
        <w:rPr>
          <w:rFonts w:ascii="Arial" w:cs="Arial" w:eastAsia="Arial" w:hAnsi="Arial"/>
          <w:sz w:val="18"/>
          <w:szCs w:val="18"/>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jc w:val="both"/>
      </w:pPr>
      <w:r>
        <w:rPr>
          <w:rFonts w:ascii="Arial" w:cs="Arial" w:eastAsia="Arial" w:hAnsi="Arial"/>
          <w:sz w:val="18"/>
          <w:szCs w:val="18"/>
        </w:rPr>
        <w:t xml:space="preserve">Behar, J. A., Palmius, N., Li, Q., Garber, M., Nagaraj, S. B., &amp; Clifford, G. D. (2019). Feasibility of single channel oximetry for mass screening of obstructive sleep apnea. EClinicalMedicine, 11, 81–88. https://doi.org/10.1016/j.eclinm.2019.05.009</w:t>
      </w:r>
    </w:p>
    <w:p>
      <w:pPr>
        <w:spacing w:after="100"/>
        <w:ind w:left="720" w:hanging="720"/>
        <w:jc w:val="both"/>
      </w:pPr>
      <w:r>
        <w:rPr>
          <w:rFonts w:ascii="Arial" w:cs="Arial" w:eastAsia="Arial" w:hAnsi="Arial"/>
          <w:sz w:val="18"/>
          <w:szCs w:val="18"/>
        </w:rPr>
        <w:t xml:space="preserve">Benjafield, A. V., Ayas, N. T., Eastwood, P. R., Heinzer, R., Ip, M. S. M., Morrell, M. J., … &amp; Malhotra, A. (2019). Estimation of the global prevalence and burden of obstructive sleep apnoea: a literature-based analysis. The Lancet Respiratory Medicine, 7(8), 687–698. https://doi.org/10.1016/S2213-2600(19)30198-5</w:t>
      </w:r>
    </w:p>
    <w:p>
      <w:pPr>
        <w:spacing w:after="100"/>
        <w:ind w:left="720" w:hanging="720"/>
        <w:jc w:val="both"/>
      </w:pPr>
      <w:r>
        <w:rPr>
          <w:rFonts w:ascii="Arial" w:cs="Arial" w:eastAsia="Arial" w:hAnsi="Arial"/>
          <w:sz w:val="18"/>
          <w:szCs w:val="18"/>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jc w:val="both"/>
      </w:pPr>
      <w:r>
        <w:rPr>
          <w:rFonts w:ascii="Arial" w:cs="Arial" w:eastAsia="Arial" w:hAnsi="Arial"/>
          <w:sz w:val="18"/>
          <w:szCs w:val="18"/>
        </w:rPr>
        <w:t xml:space="preserve">Biedebach, L., Ferreira-Santos, D., Stefanos, M. A., et al. (2025). Unsupervised machine learning in sleep research: a scoping review. Sleep. https://pubmed.ncbi.nlm.nih.gov/40719375</w:t>
      </w:r>
    </w:p>
    <w:p>
      <w:pPr>
        <w:spacing w:after="100"/>
        <w:ind w:left="720" w:hanging="720"/>
        <w:jc w:val="both"/>
      </w:pPr>
      <w:r>
        <w:rPr>
          <w:rFonts w:ascii="Arial" w:cs="Arial" w:eastAsia="Arial" w:hAnsi="Arial"/>
          <w:sz w:val="18"/>
          <w:szCs w:val="18"/>
        </w:rPr>
        <w:t xml:space="preserve">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pPr>
        <w:spacing w:after="100"/>
        <w:ind w:left="720" w:hanging="720"/>
        <w:jc w:val="both"/>
      </w:pPr>
      <w:r>
        <w:rPr>
          <w:rFonts w:ascii="Arial" w:cs="Arial" w:eastAsia="Arial" w:hAnsi="Arial"/>
          <w:sz w:val="18"/>
          <w:szCs w:val="18"/>
        </w:rPr>
        <w:t xml:space="preserve">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pPr>
        <w:spacing w:after="100"/>
        <w:ind w:left="720" w:hanging="720"/>
        <w:jc w:val="both"/>
      </w:pPr>
      <w:r>
        <w:rPr>
          <w:rFonts w:ascii="Arial" w:cs="Arial" w:eastAsia="Arial" w:hAnsi="Arial"/>
          <w:sz w:val="18"/>
          <w:szCs w:val="18"/>
        </w:rPr>
        <w:t xml:space="preserve">Eckert, D. J., White, D. P., Jordan, A. S., Malhotra, A., &amp; Wellman, A. (2013). Defining phenotypic causes of obstructive sleep apnea. Identification of novel therapeutic targets. American Journal of Respiratory and Critical Care Medicine, 188(8), 996–1004. https://doi.org/10.1164/rccm.201303-0448OC</w:t>
      </w:r>
    </w:p>
    <w:p>
      <w:pPr>
        <w:spacing w:after="100"/>
        <w:ind w:left="720" w:hanging="720"/>
        <w:jc w:val="both"/>
      </w:pPr>
      <w:r>
        <w:rPr>
          <w:rFonts w:ascii="Arial" w:cs="Arial" w:eastAsia="Arial" w:hAnsi="Arial"/>
          <w:sz w:val="18"/>
          <w:szCs w:val="18"/>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pPr>
        <w:spacing w:after="100"/>
        <w:ind w:left="720" w:hanging="720"/>
        <w:jc w:val="both"/>
      </w:pPr>
      <w:r>
        <w:rPr>
          <w:rFonts w:ascii="Arial" w:cs="Arial" w:eastAsia="Arial" w:hAnsi="Arial"/>
          <w:sz w:val="18"/>
          <w:szCs w:val="18"/>
        </w:rPr>
        <w:t xml:space="preserve">Inza, R., et al. (en preparación). Fenotipado morfológico y respuesta autonómica en eventos de desaturación nocturna: el Índice de Reactividad Autonómica (ARI). [T1]</w:t>
      </w:r>
    </w:p>
    <w:p>
      <w:pPr>
        <w:spacing w:after="100"/>
        <w:ind w:left="720" w:hanging="720"/>
        <w:jc w:val="both"/>
      </w:pPr>
      <w:r>
        <w:rPr>
          <w:rFonts w:ascii="Arial" w:cs="Arial" w:eastAsia="Arial" w:hAnsi="Arial"/>
          <w:sz w:val="18"/>
          <w:szCs w:val="18"/>
        </w:rPr>
        <w:t xml:space="preserve">Inza, R., et al. (en preparación). Estados dinámicos multiescala de la fisiología nocturna en SAOS: el sistema PAC States. [T2]</w:t>
      </w:r>
    </w:p>
    <w:p>
      <w:pPr>
        <w:spacing w:after="100"/>
        <w:ind w:left="720" w:hanging="720"/>
        <w:jc w:val="both"/>
      </w:pPr>
      <w:r>
        <w:rPr>
          <w:rFonts w:ascii="Arial" w:cs="Arial" w:eastAsia="Arial" w:hAnsi="Arial"/>
          <w:sz w:val="18"/>
          <w:szCs w:val="18"/>
        </w:rPr>
        <w:t xml:space="preserve">Inza, R., et al. (en preparación). Acoplamiento morfotipo–estado y modelado predictivo basado en representaciones PAC. [T3]</w:t>
      </w:r>
    </w:p>
    <w:p>
      <w:pPr>
        <w:spacing w:after="100"/>
        <w:ind w:left="720" w:hanging="720"/>
        <w:jc w:val="both"/>
      </w:pPr>
      <w:r>
        <w:rPr>
          <w:rFonts w:ascii="Arial" w:cs="Arial" w:eastAsia="Arial" w:hAnsi="Arial"/>
          <w:sz w:val="18"/>
          <w:szCs w:val="18"/>
        </w:rPr>
        <w:t xml:space="preserve">Inza, R., et al. (en preparación). Predicción prospectiva de eventos de desaturación severa con horizonte temporal clínico mediante representaciones PAC. [T4]</w:t>
      </w:r>
    </w:p>
    <w:p>
      <w:pPr>
        <w:spacing w:after="100"/>
        <w:ind w:left="720" w:hanging="720"/>
        <w:jc w:val="both"/>
      </w:pPr>
      <w:r>
        <w:rPr>
          <w:rFonts w:ascii="Arial" w:cs="Arial" w:eastAsia="Arial" w:hAnsi="Arial"/>
          <w:sz w:val="18"/>
          <w:szCs w:val="18"/>
        </w:rPr>
        <w:t xml:space="preserve">Ke, G., Meng, Q., Finley, T., Wang, T., Chen, W., Ma, W., Ye, Q., &amp; Liu, T.-Y. (2017). LightGBM: a highly efficient gradient boosting decision tree. Advances in Neural Information Processing Systems, 30, 3146–3154.</w:t>
      </w:r>
    </w:p>
    <w:p>
      <w:pPr>
        <w:spacing w:after="100"/>
        <w:ind w:left="720" w:hanging="720"/>
        <w:jc w:val="both"/>
      </w:pPr>
      <w:r>
        <w:rPr>
          <w:rFonts w:ascii="Arial" w:cs="Arial" w:eastAsia="Arial" w:hAnsi="Arial"/>
          <w:sz w:val="18"/>
          <w:szCs w:val="18"/>
        </w:rPr>
        <w:t xml:space="preserve">Lévy, P., Kohler, M., McNicholas, W. T., Barbé, F., McEvoy, R. D., Somers, V. K., … &amp; Pépin, J.-L. (2015). Obstructive sleep apnoea syndrome. Nature Reviews Disease Primers, 1, 15015. https://doi.org/10.1038/nrdp.2015.15</w:t>
      </w:r>
    </w:p>
    <w:p>
      <w:pPr>
        <w:spacing w:after="100"/>
        <w:ind w:left="720" w:hanging="720"/>
        <w:jc w:val="both"/>
      </w:pPr>
      <w:r>
        <w:rPr>
          <w:rFonts w:ascii="Arial" w:cs="Arial" w:eastAsia="Arial" w:hAnsi="Arial"/>
          <w:sz w:val="18"/>
          <w:szCs w:val="18"/>
        </w:rPr>
        <w:t xml:space="preserve">Masa, J. F., Corral, J., Pereira, R., Duran-Cantolla, J., Cabello, M., Hernández-Blasco, L., … &amp; Montserrat, J. M. (2011). Effectiveness of home respiratory polygraphy for the diagnosis of sleep apnoea and hypopnoea syndrome. Thorax, 66(7), 567–573. https://doi.org/10.1136/thx.2010.152272</w:t>
      </w:r>
    </w:p>
    <w:p>
      <w:pPr>
        <w:spacing w:after="100"/>
        <w:ind w:left="720" w:hanging="720"/>
        <w:jc w:val="both"/>
      </w:pPr>
      <w:r>
        <w:rPr>
          <w:rFonts w:ascii="Arial" w:cs="Arial" w:eastAsia="Arial" w:hAnsi="Arial"/>
          <w:sz w:val="18"/>
          <w:szCs w:val="18"/>
        </w:rPr>
        <w:t xml:space="preserve">Narkiewicz, K., &amp; Somers, V. K. (2003). Sympathetic nerve activity in obstructive sleep apnoea. Acta Physiologica Scandinavica, 177(3), 385–390. https://doi.org/10.1046/j.1365-201X.2003.01091.x</w:t>
      </w:r>
    </w:p>
    <w:p>
      <w:pPr>
        <w:spacing w:after="100"/>
        <w:ind w:left="720" w:hanging="720"/>
        <w:jc w:val="both"/>
      </w:pPr>
      <w:r>
        <w:rPr>
          <w:rFonts w:ascii="Arial" w:cs="Arial" w:eastAsia="Arial" w:hAnsi="Arial"/>
          <w:sz w:val="18"/>
          <w:szCs w:val="18"/>
        </w:rPr>
        <w:t xml:space="preserve">Niculescu-Mizil, A., &amp; Caruana, R. (2005). Predicting good probabilities with supervised learning. Proceedings of the 22nd International Conference on Machine Learning (ICML), 625–632. https://doi.org/10.1145/1102351.1102430</w:t>
      </w:r>
    </w:p>
    <w:p>
      <w:pPr>
        <w:spacing w:after="100"/>
        <w:ind w:left="720" w:hanging="720"/>
        <w:jc w:val="both"/>
      </w:pPr>
      <w:r>
        <w:rPr>
          <w:rFonts w:ascii="Arial" w:cs="Arial" w:eastAsia="Arial" w:hAnsi="Arial"/>
          <w:sz w:val="18"/>
          <w:szCs w:val="18"/>
        </w:rPr>
        <w:t xml:space="preserve">Penzel, T., Kantelhardt, J. W., Bartsch, R. P., Riedl, M., Kraemer, J. F., Wessel, N., … &amp; Schöbel, C. (2016). Modulations of heart rate, ECG, and cardio-respiratory coupling observed in polysomnography. Frontiers in Physiology, 7, 460. https://doi.org/10.3389/fphys.2016.00460</w:t>
      </w:r>
    </w:p>
    <w:p>
      <w:pPr>
        <w:spacing w:after="100"/>
        <w:ind w:left="720" w:hanging="720"/>
        <w:jc w:val="both"/>
      </w:pPr>
      <w:r>
        <w:rPr>
          <w:rFonts w:ascii="Arial" w:cs="Arial" w:eastAsia="Arial" w:hAnsi="Arial"/>
          <w:sz w:val="18"/>
          <w:szCs w:val="18"/>
        </w:rPr>
        <w:t xml:space="preserve">Prabhakar, N. R. (2016). Carotid body chemoreflex: a new frontier in the treatment of cardiorespiratory diseases. Advances in Experimental Medicine and Biology, 860, 53–63. https://doi.org/10.1007/978-3-319-18440-1_6</w:t>
      </w:r>
    </w:p>
    <w:p>
      <w:pPr>
        <w:spacing w:after="100"/>
        <w:ind w:left="720" w:hanging="720"/>
        <w:jc w:val="both"/>
      </w:pPr>
      <w:r>
        <w:rPr>
          <w:rFonts w:ascii="Arial" w:cs="Arial" w:eastAsia="Arial" w:hAnsi="Arial"/>
          <w:sz w:val="18"/>
          <w:szCs w:val="18"/>
        </w:rPr>
        <w:t xml:space="preserve">Saito, T., &amp; Rehmsmeier, M. (2015). The precision-recall plot is more informative than the ROC plot when evaluating binary classifiers on imbalanced datasets. PLOS ONE, 10(3), e0118432. https://doi.org/10.1371/journal.pone.0118432</w:t>
      </w:r>
    </w:p>
    <w:p>
      <w:pPr>
        <w:spacing w:after="100"/>
        <w:ind w:left="720" w:hanging="720"/>
        <w:jc w:val="both"/>
      </w:pPr>
      <w:r>
        <w:rPr>
          <w:rFonts w:ascii="Arial" w:cs="Arial" w:eastAsia="Arial" w:hAnsi="Arial"/>
          <w:sz w:val="18"/>
          <w:szCs w:val="18"/>
        </w:rPr>
        <w:t xml:space="preserve">Sands, S. A., Terrill, P. I., Edwards, B. A., Taranto-Montemurro, L., Azarbarzin, A., Nguyen, A. T., … &amp; Wellman, A. (2021). Quantifying the arousal threshold using polysomnography in obstructive sleep apnea. Sleep, 41(1), zsx183. https://doi.org/10.1093/sleep/zsx183</w:t>
      </w:r>
    </w:p>
    <w:p>
      <w:pPr>
        <w:spacing w:after="100"/>
        <w:ind w:left="720" w:hanging="720"/>
        <w:jc w:val="both"/>
      </w:pPr>
      <w:r>
        <w:rPr>
          <w:rFonts w:ascii="Arial" w:cs="Arial" w:eastAsia="Arial" w:hAnsi="Arial"/>
          <w:sz w:val="18"/>
          <w:szCs w:val="18"/>
        </w:rPr>
        <w:t xml:space="preserve">Stradling, J. R., &amp; Davies, R. J. O. (2004). Sleep · 1: Obstructive sleep apnoea/hypopnoea syndrome: definitions, epidemiology, and natural history. Thorax, 59(1), 73–78. https://doi.org/10.1136/thorax.59.1.73</w:t>
      </w:r>
    </w:p>
    <w:p>
      <w:pPr>
        <w:spacing w:after="100"/>
        <w:ind w:left="720" w:hanging="720"/>
        <w:jc w:val="both"/>
      </w:pPr>
      <w:r>
        <w:rPr>
          <w:rFonts w:ascii="Arial" w:cs="Arial" w:eastAsia="Arial" w:hAnsi="Arial"/>
          <w:sz w:val="18"/>
          <w:szCs w:val="18"/>
        </w:rPr>
        <w:t xml:space="preserve">Terrill, P. I. (2020). A review of approaches for analysing obstructive sleep apnoea-related patterns in pulse oximetry data. Respirology. https://pubmed.ncbi.nlm.nih.gov/31246376</w:t>
      </w:r>
    </w:p>
    <w:p>
      <w:pPr>
        <w:spacing w:after="100"/>
        <w:ind w:left="720" w:hanging="720"/>
        <w:jc w:val="both"/>
      </w:pPr>
      <w:r>
        <w:rPr>
          <w:rFonts w:ascii="Arial" w:cs="Arial" w:eastAsia="Arial" w:hAnsi="Arial"/>
          <w:sz w:val="18"/>
          <w:szCs w:val="18"/>
        </w:rPr>
        <w:t xml:space="preserve">Wasserstein, R. L., &amp; Lazar, N. A. (2016). The ASA statement on p-values: context, process, and purpose. The American Statistician, 70(2), 129–133. https://doi.org/10.1080/00031305.2016.1154108</w:t>
      </w:r>
    </w:p>
    <w:p>
      <w:pPr>
        <w:spacing w:after="100"/>
        <w:ind w:left="720" w:hanging="720"/>
        <w:jc w:val="both"/>
      </w:pPr>
      <w:r>
        <w:rPr>
          <w:rFonts w:ascii="Arial" w:cs="Arial" w:eastAsia="Arial" w:hAnsi="Arial"/>
          <w:sz w:val="18"/>
          <w:szCs w:val="18"/>
        </w:rPr>
        <w:t xml:space="preserve">Wellman, A., Eckert, D. J., Jordan, A. S., Edwards, B. A., Passaglia, C. L., Jackson, A. C., … &amp; White, D. P. (2011). A method for measuring and modeling the physiological traits causing obstructive sleep apnea. Journal of Applied Physiology, 110(6), 1627–1637. https://doi.org/10.1152/japplphysiol.00972.2010</w:t>
      </w:r>
    </w:p>
    <w:p>
      <w:pPr>
        <w:spacing w:after="100"/>
        <w:ind w:left="720" w:hanging="720"/>
        <w:jc w:val="both"/>
      </w:pPr>
      <w:r>
        <w:rPr>
          <w:rFonts w:ascii="Arial" w:cs="Arial" w:eastAsia="Arial" w:hAnsi="Arial"/>
          <w:sz w:val="18"/>
          <w:szCs w:val="18"/>
        </w:rPr>
        <w:t xml:space="preserve">Zhang, X., Li, F., Fang, Y., et al. (2026). Novel event-based peripheral oxygen saturation metrics provide complementary information for OSA classification. IEEE Transactions on Bio-Medical Engineering. https://pubmed.ncbi.nlm.nih.gov/41701586</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before="6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60"/>
    </w:pPr>
    <w:r>
      <w:rPr>
        <w:rFonts w:ascii="Arial" w:cs="Arial" w:eastAsia="Arial" w:hAnsi="Arial"/>
        <w:color w:val="6B7280"/>
        <w:sz w:val="16"/>
        <w:szCs w:val="16"/>
      </w:rPr>
      <w:t xml:space="preserve">Proyecto PAC · Tesis de Maestría</w:t>
    </w:r>
    <w:r>
      <w:rPr>
        <w:rFonts w:ascii="Arial" w:cs="Arial" w:eastAsia="Arial" w:hAnsi="Arial"/>
        <w:sz w:val="16"/>
        <w:szCs w:val="16"/>
      </w:rPr>
      <w:t xml:space="preserve">	</w:t>
    </w:r>
    <w:r>
      <w:rPr>
        <w:rFonts w:ascii="Arial" w:cs="Arial" w:eastAsia="Arial" w:hAnsi="Arial"/>
        <w:i/>
        <w:iCs/>
        <w:color w:val="6B7280"/>
        <w:sz w:val="16"/>
        <w:szCs w:val="16"/>
      </w:rPr>
      <w:t xml:space="preserve">Capítulo 9 — Discusión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2026-05-29T04:09:10.109Z</dcterms:created>
  <dcterms:modified xsi:type="dcterms:W3CDTF">2026-05-29T04:09:10.110Z</dcterms:modified>
</cp:coreProperties>
</file>

<file path=docProps/custom.xml><?xml version="1.0" encoding="utf-8"?>
<Properties xmlns="http://schemas.openxmlformats.org/officeDocument/2006/custom-properties" xmlns:vt="http://schemas.openxmlformats.org/officeDocument/2006/docPropsVTypes"/>
</file>