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2B795" w14:textId="77777777" w:rsidR="000D0080" w:rsidRDefault="00000000">
      <w:pPr>
        <w:spacing w:after="80"/>
      </w:pPr>
      <w:r>
        <w:rPr>
          <w:b/>
          <w:bCs/>
          <w:color w:val="6B7280"/>
          <w:sz w:val="20"/>
          <w:szCs w:val="20"/>
        </w:rPr>
        <w:t>CAPÍTULO 9</w:t>
      </w:r>
    </w:p>
    <w:p w14:paraId="6639C344" w14:textId="77777777" w:rsidR="000D0080" w:rsidRDefault="00000000">
      <w:pPr>
        <w:spacing w:after="120"/>
      </w:pPr>
      <w:r>
        <w:rPr>
          <w:b/>
          <w:bCs/>
          <w:color w:val="1E3A5F"/>
          <w:sz w:val="36"/>
          <w:szCs w:val="36"/>
        </w:rPr>
        <w:t>Discusión</w:t>
      </w:r>
    </w:p>
    <w:p w14:paraId="5104F65F" w14:textId="77777777" w:rsidR="000D0080" w:rsidRDefault="00000000">
      <w:pPr>
        <w:pBdr>
          <w:bottom w:val="single" w:sz="4" w:space="8" w:color="D0D8E4"/>
        </w:pBdr>
        <w:spacing w:after="400"/>
      </w:pPr>
      <w:r>
        <w:rPr>
          <w:color w:val="6B7280"/>
          <w:sz w:val="18"/>
          <w:szCs w:val="18"/>
        </w:rPr>
        <w:t>Versión 2  ·  Mayo 2026</w:t>
      </w:r>
    </w:p>
    <w:p w14:paraId="466C7F37" w14:textId="77777777" w:rsidR="000D0080" w:rsidRDefault="000D0080">
      <w:pPr>
        <w:spacing w:after="160"/>
      </w:pPr>
    </w:p>
    <w:p w14:paraId="4B593F9D" w14:textId="77777777" w:rsidR="000D0080" w:rsidRDefault="00000000">
      <w:pPr>
        <w:spacing w:after="160" w:line="276" w:lineRule="auto"/>
        <w:jc w:val="both"/>
      </w:pPr>
      <w:r>
        <w:t>Este capítulo sitúa el arco analítico del Proyecto APNEA en perspectiva bibliográfica, siguiendo la cadena narrativa que organiza el trabajo: EDO → Estados → Acople → Fenotipia de eventos y noches → Predicción para terapéutica automática del EDO severo. Para cada eslabón se identifican antecedentes en la literatura; cuando los resultados propios tienen precedente, se contrasta el hallazgo con los trabajos más cercanos; cuando no existe precedente conocido, se lo señala explícitamente como contribución original sin referencia directa publicada.</w:t>
      </w:r>
    </w:p>
    <w:p w14:paraId="39EA53AF" w14:textId="77777777" w:rsidR="000D0080" w:rsidRDefault="00000000">
      <w:pPr>
        <w:spacing w:after="160" w:line="276" w:lineRule="auto"/>
        <w:jc w:val="both"/>
      </w:pPr>
      <w:r>
        <w:t>El capítulo no repite los resultados numéricos de los capítulos previos. Su función es evaluar la originalidad de las contribuciones, identificar sus límites de validez y articular la agenda de trabajo que permite avanzar desde la factibilidad analítica demostrada hacia la aplicación clínica.</w:t>
      </w:r>
    </w:p>
    <w:p w14:paraId="6D993EC2" w14:textId="77777777" w:rsidR="000D0080" w:rsidRDefault="00000000">
      <w:pPr>
        <w:pStyle w:val="Ttulo1"/>
        <w:pBdr>
          <w:bottom w:val="single" w:sz="4" w:space="4" w:color="D0D8E4"/>
        </w:pBdr>
      </w:pPr>
      <w:r>
        <w:t>9.1  Índices de evento e índices agregados nocturnos: el problema de la reducción escalar en el SAOS</w:t>
      </w:r>
    </w:p>
    <w:p w14:paraId="2B097EAE" w14:textId="77777777" w:rsidR="000D0080" w:rsidRDefault="00000000">
      <w:pPr>
        <w:spacing w:after="160" w:line="276" w:lineRule="auto"/>
        <w:jc w:val="both"/>
      </w:pPr>
      <w:r>
        <w:t>El SAOS se manifiesta durante el sueño como una sucesión de eventos respiratorios individuales. Cada evento tiene propiedades elementales: profundidad de la caída de SpO₂ (en puntos porcentuales), duración (en segundos), perfil temporal de la curva de recuperación (morfología) y respuesta fisiológica asociada —cambios de frecuencia cardíaca, actividad motora. Esta granularidad de evento es la unidad natural de análisis desde el punto de vista fisiológico. La práctica clínica estándar, sin embargo, no opera sobre eventos individuales sino sobre estadísticas nocturnas que comprimen esa información en un único índice por noche.</w:t>
      </w:r>
    </w:p>
    <w:p w14:paraId="264DA9C3" w14:textId="77777777" w:rsidR="000D0080" w:rsidRDefault="00000000">
      <w:pPr>
        <w:spacing w:after="160" w:line="276" w:lineRule="auto"/>
        <w:jc w:val="both"/>
      </w:pPr>
      <w:r>
        <w:t>La distinción entre índices de evento e índices agregados nocturnos es central para entender el posicionamiento del pipeline PAC_v3. El pipeline opera en ambos niveles simultáneamente: detecta y caracteriza cada EDO individualmente —nivel evento— y construye representaciones nocturnas a partir de esa caracterización —nivel noche. Esta dualidad permite preservar la estructura que los índices agregados ocultan, y es la base tanto del fenotipado morfológico (Cap04) como del sistema de estados dinámicos (Cap05).</w:t>
      </w:r>
    </w:p>
    <w:p w14:paraId="0C765B6F" w14:textId="77777777" w:rsidR="000D0080" w:rsidRDefault="00000000">
      <w:pPr>
        <w:pStyle w:val="Ttulo2"/>
      </w:pPr>
      <w:r>
        <w:t>9.1.1  El AHI y el ODI3: estándar clínico y subrogante oxiométrico</w:t>
      </w:r>
    </w:p>
    <w:p w14:paraId="339E70A4" w14:textId="77777777" w:rsidR="000D0080" w:rsidRDefault="00000000">
      <w:pPr>
        <w:spacing w:after="160" w:line="276" w:lineRule="auto"/>
        <w:jc w:val="both"/>
      </w:pPr>
      <w:r>
        <w:t xml:space="preserve">El índice de referencia para el diagnóstico y la clasificación de severidad del SAOS es el Apnea–Hypopnea Index (AHI): número de apneas e hipopneas por hora de sueño, calculado sobre señales de flujo oronasal, esfuerzo respiratorio y SpO₂ registradas en PSG completa (Berry et al., 2012). Los criterios AASM definen los umbrales diagnósticos estándar —leve: 5 ≤ AHI &lt; 15; moderado: 15 ≤ AHI &lt; 30; severo: AHI ≥ 30— y constituyen el marco de referencia contra el que se comparan todos los dispositivos de monitoreo alternativo. Su respaldo como predictor de riesgo cardiovascular en estudios </w:t>
      </w:r>
      <w:r>
        <w:lastRenderedPageBreak/>
        <w:t>epidemiológicos de largo plazo (Lévy et al., 2015) explica su persistencia como estándar clínico pese a sus limitaciones ampliamente reconocidas.</w:t>
      </w:r>
    </w:p>
    <w:p w14:paraId="605409B6" w14:textId="62429952" w:rsidR="000D0080" w:rsidRDefault="00000000">
      <w:pPr>
        <w:spacing w:after="160" w:line="276" w:lineRule="auto"/>
        <w:jc w:val="both"/>
      </w:pPr>
      <w:r>
        <w:t>El ODI3 (Oxygen Desaturation Index con umbral del 3 %) es su subrogante oxiométrico más utilizado: cuenta los eventos de caída de SpO₂ ≥ 3 pp por hora, cuantificables a partir de pulsioximetría nocturna sin PSG. La concordancia ODI3–AHI es alta en el rango moderado-severo: correlaciones ρ &gt; 0,85 han sido reportadas en estudios de validación frente a PSG (Masa et al., 2011; Duran-Cantolla et al., 2010), rango en el que se concentra la cohorte PAC_v</w:t>
      </w:r>
      <w:r w:rsidR="00881085">
        <w:t>3</w:t>
      </w:r>
      <w:r>
        <w:t>. Esta concordancia justifica su uso como proxy del AHI cuando la PSG no está disponible. El pipeline PAC_v3 detecta EDOs con umbral permisivo propio de ≥ 2 pp —para maximizar la sensibilidad de detección— y usa el ODI3 como índice de severidad nocturna de referencia a lo largo de toda la tesis, con la ventaja de ser obtenible directamente desde el SOMNI 6000 sin infraestructura hospitalaria ni técnico especializado.</w:t>
      </w:r>
    </w:p>
    <w:p w14:paraId="1305658F" w14:textId="77777777" w:rsidR="000D0080" w:rsidRDefault="00000000">
      <w:pPr>
        <w:spacing w:after="160" w:line="276" w:lineRule="auto"/>
        <w:jc w:val="both"/>
      </w:pPr>
      <w:r>
        <w:t>Sin embargo, AHI y ODI3 comparten una limitación estructural: son índices de frecuencia. Cuentan eventos pero no caracterizan su morfología, no cuantifican la profundidad integrada de la hipoxemia, no capturan la respuesta autonómica que cada evento genera ni registran cuándo, dentro de la noche, se concentran los episodios más severos. Dos pacientes con ODI3 = 25 pueden tener perfiles de eventos completamente distintos —uno con caídas breves (≤ 15 s) de 3–4 pp y recuperación rápida; otro con episodios prolongados (≥ 60 s) de 8–12 pp con SpO₂ nadir &lt; 88 %— y recibir la misma categoría diagnóstica. Esta crítica a la unidimensionalidad de los índices de frecuencia es sostenida en la literatura desde hace más de dos décadas (Stradling &amp; Davies, 2004; Eckert et al., 2013) y ha motivado el desarrollo de métricas alternativas.</w:t>
      </w:r>
    </w:p>
    <w:p w14:paraId="5115DBA4" w14:textId="77777777" w:rsidR="000D0080" w:rsidRDefault="00000000">
      <w:pPr>
        <w:pStyle w:val="Ttulo2"/>
      </w:pPr>
      <w:r>
        <w:t>9.1.2  Más allá de la frecuencia: T90 y la carga hipóxica nocturna</w:t>
      </w:r>
    </w:p>
    <w:p w14:paraId="4E98015D" w14:textId="77777777" w:rsidR="000D0080" w:rsidRDefault="00000000">
      <w:pPr>
        <w:spacing w:after="160" w:line="276" w:lineRule="auto"/>
        <w:jc w:val="both"/>
      </w:pPr>
      <w:r>
        <w:t>El T90 —fracción del tiempo de sueño con SpO₂ &lt; 90 %— y la carga hipóxica (hypoxic burden), definida como el área bajo la curva de SpO₂ durante los eventos respiratorios, representan los intentos más exitosos de capturar la dimensión temporal e integrada de la hipoxemia que AHI y ODI3 omiten. Azarbarzin et al. (2019) demostraron en dos cohortes epidemiológicas de gran escala (MrOS Sleep Study, n = 2.690; SHHS, n = 4.388) que la carga hipóxica predice mortalidad cardiovascular independientemente del AHI: pacientes con alta carga hipóxica y AHI moderado presentan peor pronóstico cardiovascular que pacientes con AHI equivalente pero baja carga hipóxica. En la misma línea, Sands et al. (2021) proponen descomponer el fenotipo del SAOS en cuatro rasgos fisiopatológicos independientes —ganancia del quimiorreceptor (loop gain), umbral de arousal, respuesta muscular de la vía aérea superior y compensación postural—, cada uno de los cuales puede variar independientemente del AHI. T90 y carga hipóxica son calculables desde oximetría domiciliaria y forman parte del quinteto de validación del pipeline PAC_v3. Sin embargo, son todavía índices agregados nocturnos: integran la carga hipóxica de la noche completa pero no capturan cuándo ocurren los episodios más severos, qué morfología de curva tienen, ni cómo responde el sistema autonómico a cada uno de ellos.</w:t>
      </w:r>
    </w:p>
    <w:p w14:paraId="38791E02" w14:textId="77777777" w:rsidR="000D0080" w:rsidRDefault="00000000">
      <w:pPr>
        <w:pStyle w:val="Ttulo2"/>
      </w:pPr>
      <w:r>
        <w:t>9.1.3  La propuesta PAC: estructura que los índices agregados no capturan</w:t>
      </w:r>
    </w:p>
    <w:p w14:paraId="198108AC" w14:textId="77777777" w:rsidR="000D0080" w:rsidRDefault="00000000">
      <w:pPr>
        <w:spacing w:after="160" w:line="276" w:lineRule="auto"/>
        <w:jc w:val="both"/>
      </w:pPr>
      <w:r>
        <w:t xml:space="preserve">El pipeline PAC_v3 parte de la observación de que los índices disponibles —AHI, ODI3, T90, carga hipóxica— operan como proyecciones unidimensionales de una fisiología nocturna inherentemente multidimensional y estructurada en el tiempo. Dos pacientes con los mismos valores de ODI3 y T90 pueden presentar distribuciones completamente distintas </w:t>
      </w:r>
      <w:r>
        <w:lastRenderedPageBreak/>
        <w:t>de morfotipos de curva SpO₂, estados dinámicos nocturnos y respuesta autonómica por evento. Esa estructura es latente en la señal pero invisible para los índices convencionales.</w:t>
      </w:r>
    </w:p>
    <w:p w14:paraId="06366F14" w14:textId="77777777" w:rsidR="000D0080" w:rsidRDefault="00000000">
      <w:pPr>
        <w:spacing w:after="160" w:line="276" w:lineRule="auto"/>
        <w:jc w:val="both"/>
      </w:pPr>
      <w:r>
        <w:t>La propuesta se organiza en dos niveles de enriquecimiento. A nivel de evento: el fenotipado morfológico mediante morfotipos C1–C5 (Cap04) añade la forma de la curva como dimensión diagnóstica; el ARI añade la reactividad autonómica como dimensión independiente del ODI3. Hasta donde el autor conoce, no existe en la literatura de oximetría portátil nocturna un antecedente de fenotipado morfológico no supervisado de eventos individuales a escala comparable (84.248 eventos, K-means sobre curvas PCA-reducidas), ni una operacionalización del ARI en estos términos: ambos constituyen contribuciones originales sin precedente directo publicado. A nivel de noche: los estados dinámicos PAC multiescala (Cap05) capturan la organización temporal de la noche como secuencia de estados a 30 s, 5 min y 30 min. En este plano existen antecedentes parciales en la literatura de modelos de Markov ocultos sobre señales de EEG para inferencia de estadios del sueño (Penzel et al., 2016) y sobre series cardíacas (Goldberger et al., 2002), pero no sobre señales de oximetría portátil domiciliaria ni con la arquitectura triescala simultánea que caracteriza al sistema PAC. Esta última dimensión es también una contribución original.</w:t>
      </w:r>
    </w:p>
    <w:p w14:paraId="714FF568" w14:textId="77777777" w:rsidR="000D0080" w:rsidRDefault="00000000">
      <w:pPr>
        <w:spacing w:after="160" w:line="276" w:lineRule="auto"/>
        <w:jc w:val="both"/>
      </w:pPr>
      <w:r>
        <w:t>Este posicionamiento sitúa el sistema PAC como una representación intermedia entre el índice escalar y la señal cruda: compacta (vector de ~146 features por noche), interpretable (cada feature tiene correlato fisiológico directo) y computacionalmente obtenible desde un único sensor portátil. Los apartados siguientes discuten en detalle cada componente de esa representación y su relación con la literatura.</w:t>
      </w:r>
    </w:p>
    <w:p w14:paraId="238677E4" w14:textId="77777777" w:rsidR="000D0080" w:rsidRDefault="00000000">
      <w:pPr>
        <w:pStyle w:val="Ttulo1"/>
        <w:pBdr>
          <w:bottom w:val="single" w:sz="4" w:space="4" w:color="D0D8E4"/>
        </w:pBdr>
      </w:pPr>
      <w:r>
        <w:t>9.2  Fenotipado morfológico de EDOs: morfotipos C1–C5 y el ARI en perspectiva</w:t>
      </w:r>
    </w:p>
    <w:p w14:paraId="78B228E3" w14:textId="77777777" w:rsidR="000D0080" w:rsidRDefault="00000000">
      <w:pPr>
        <w:pStyle w:val="Ttulo2"/>
      </w:pPr>
      <w:r>
        <w:t>9.2.1  Los morfotipos de curvas SpO₂ frente a la literatura</w:t>
      </w:r>
    </w:p>
    <w:p w14:paraId="65D77C1B" w14:textId="77777777" w:rsidR="000D0080" w:rsidRDefault="00000000">
      <w:pPr>
        <w:spacing w:after="160" w:line="276" w:lineRule="auto"/>
        <w:jc w:val="both"/>
      </w:pPr>
      <w:r>
        <w:t>El fenotipado morfológico de eventos individuales de desaturación mediante métodos no supervisados sobre la curva de SpO₂ no tiene precedente directo en la literatura a la escala que el Proyecto APNEA propone. Los trabajos más cercanos operan sobre índices agregados por noche (T90, ODI) o sobre características univariadas de los eventos (duración, profundidad), pero no sobre la forma completa de la curva normalizada como objeto de clustering. El enfoque adoptado en el Cap04 —PCA sobre 30 puntos de curva normalizados seguido de K-means con K = 5— es metodológicamente análogo a las técnicas de fenotipado morfológico en señales de ECG (Clifton et al., 2015) y en curvas de flujo respiratorio de PSG, pero aplicado a una escala de corpus (84.248 eventos) que excede la de cualquier estudio previo en oximetría nocturna portátil.</w:t>
      </w:r>
    </w:p>
    <w:p w14:paraId="16C10A60" w14:textId="77777777" w:rsidR="000D0080" w:rsidRDefault="00000000">
      <w:pPr>
        <w:spacing w:after="160" w:line="276" w:lineRule="auto"/>
        <w:jc w:val="both"/>
      </w:pPr>
      <w:r>
        <w:t xml:space="preserve">Los cinco morfotipos C1–C5 emergen con una estructura interpretable: el eje de la primera componente principal (PC1 = 62,9 % de la varianza explicada) captura fundamentalmente la profundidad de la caída de SpO₂, y el gradiente C1 → C5 representa un espectro de severidad creciente. Los morfotipos C4 y C5 —que concentran el 6,1 % de los eventos pero la fracción más alta de carga hipóxica por evento— corresponden a lo que la literatura clínica denomina apneas obstructivas prolongadas con desaturación severa. La consistencia del morfotipo dentro de un mismo paciente a lo largo de las noches (ICC inter-noche moderado) sugiere que los morfotipos capturan un rasgo relativamente estable de la fisiopatología individual, no un artefacto de la variabilidad nocturna. Este resultado es </w:t>
      </w:r>
      <w:r>
        <w:lastRenderedPageBreak/>
        <w:t>coherente con la observación de Eckert et al. (2013) de que los pacientes con SAOS difieren en sus mecanismos fisiopatológicos dominantes de forma relativamente consistente entre noches y sesiones.</w:t>
      </w:r>
    </w:p>
    <w:p w14:paraId="06B7D44E" w14:textId="77777777" w:rsidR="000D0080" w:rsidRDefault="00000000">
      <w:pPr>
        <w:pStyle w:val="Ttulo2"/>
      </w:pPr>
      <w:r>
        <w:t>9.2.2  El ARI: una dimensión ortogonal a la severidad hipóxica</w:t>
      </w:r>
    </w:p>
    <w:p w14:paraId="55585621" w14:textId="77777777" w:rsidR="000D0080" w:rsidRDefault="00000000">
      <w:pPr>
        <w:spacing w:after="160" w:line="276" w:lineRule="auto"/>
        <w:jc w:val="both"/>
      </w:pPr>
      <w:r>
        <w:t>El Índice de Reactividad Autonómica (ARI) es la contribución metodológica más original del Cap04. El hallazgo de ortogonalidad entre el ARI y el ODI3 —ρ(ARI, ODI3) = 0,034; n = 85.277 EDOs— implica que la respuesta autonómica cardíaca y motora de un evento es estadísticamente independiente de su frecuencia nocturna. Un paciente con ODI3 elevado puede presentar ARI bajo, y viceversa: la frecuencia y la reactividad autonómica son dimensiones del fenotipo que no se predicen mutuamente.</w:t>
      </w:r>
    </w:p>
    <w:p w14:paraId="38ED06C2" w14:textId="77777777" w:rsidR="000D0080" w:rsidRDefault="00000000">
      <w:pPr>
        <w:spacing w:after="160" w:line="276" w:lineRule="auto"/>
        <w:jc w:val="both"/>
      </w:pPr>
      <w:r>
        <w:t>Este resultado tiene coherencia fisiopatológica directa con la literatura. El arousal cortical que acompaña a los eventos respiratorios está parcialmente disociado de la severidad de la desaturación: pacientes con umbral de arousal bajo tienden a presentar eventos cortos, de desaturación menor, pero acompañados de respuesta cardiovascular importante; pacientes con umbral alto presentan episodios más prolongados y profundos, pero con menor respuesta cortical y autonómica por evento (Wellman et al., 2011; Stradling &amp; Davies, 2004). El ARI operacionaliza esta relación mediante oximetría y acelerometría, sin requerir electroencefalografía ni polisomnografía completa.</w:t>
      </w:r>
    </w:p>
    <w:p w14:paraId="782900FD" w14:textId="77777777" w:rsidR="000D0080" w:rsidRDefault="00000000">
      <w:pPr>
        <w:spacing w:after="160" w:line="276" w:lineRule="auto"/>
        <w:jc w:val="both"/>
      </w:pPr>
      <w:r>
        <w:t>El hallazgo del gradiente autonómico inverso —el morfotipo C5 presenta el ARI más bajo del corpus (0,423 ± 0,104), en lugar del más alto— es contraintuitivo desde el supuesto de que los eventos más severos deberían generar mayor respuesta fisiológica. El análisis within-stratum confirma que este gradiente es genuino y no un artefacto de composición. La interpretación fisiopatológica más parsimoniosa es que los pacientes con SAOS severo han desarrollado, a lo largo del tiempo, una cierta adaptación autonómica a la hipoxia recurrente: su sistema nervioso autónomo genera una respuesta proporcionalmente menor ante estímulos hipóxicos de mayor magnitud. Este fenómeno es consistente con la literatura sobre atenuación de la respuesta simpática en hipoxemia intermitente crónica (Patel et al., 2019), aunque la relación causal no puede establecerse con datos observacionales transversales.</w:t>
      </w:r>
    </w:p>
    <w:p w14:paraId="5817D2CF" w14:textId="77777777" w:rsidR="000D0080" w:rsidRDefault="00000000">
      <w:pPr>
        <w:spacing w:after="160" w:line="276" w:lineRule="auto"/>
        <w:jc w:val="both"/>
      </w:pPr>
      <w:r>
        <w:t>El ICC(1,1) del ARI a nivel noche-paciente (0,69 en cohorte completa, 0,74 en cohorte estricta) confirma que el ARI es un rasgo moderadamente estable del individuo: las distintas noches de un mismo paciente producen valores de ARI similares, en mayor medida de lo que la variabilidad intraindividual sugeriría a priori. Este nivel de estabilidad —comparable al del ODI3, que la literatura establece requiere aproximadamente 7 noches para estimaciones confiables (Masa et al., 2011)— posiciona al ARI como candidato para su integración en protocolos de caracterización domiciliaria de corto plazo.</w:t>
      </w:r>
    </w:p>
    <w:p w14:paraId="24FF346E" w14:textId="77777777" w:rsidR="000D0080" w:rsidRDefault="00000000">
      <w:pPr>
        <w:pStyle w:val="Ttulo1"/>
        <w:pBdr>
          <w:bottom w:val="single" w:sz="4" w:space="4" w:color="D0D8E4"/>
        </w:pBdr>
      </w:pPr>
      <w:r>
        <w:t>9.3  PAC States: la fisiología nocturna como sistema dinámico multiescala</w:t>
      </w:r>
    </w:p>
    <w:p w14:paraId="6D8B22A5" w14:textId="77777777" w:rsidR="000D0080" w:rsidRDefault="00000000">
      <w:pPr>
        <w:pStyle w:val="Ttulo2"/>
      </w:pPr>
      <w:r>
        <w:t>9.3.1  Representación del sueño como secuencia de estados</w:t>
      </w:r>
    </w:p>
    <w:p w14:paraId="0DBD071C" w14:textId="77777777" w:rsidR="000D0080" w:rsidRDefault="00000000">
      <w:pPr>
        <w:spacing w:after="160" w:line="276" w:lineRule="auto"/>
        <w:jc w:val="both"/>
      </w:pPr>
      <w:r>
        <w:t xml:space="preserve">La representación del sueño como una secuencia de estados fisiológicos discretos tiene antecedentes en la literatura de análisis de señales biomédicas. Los modelos de Markov ocultos (HMM) han sido aplicados a series de tiempo de EEG para inferir estadios del sueño </w:t>
      </w:r>
      <w:r>
        <w:lastRenderedPageBreak/>
        <w:t>(Penzel et al., 2016) y a señales cardíacas para detectar transiciones fisiológicas durante el sueño (Goldberger et al., 2002). La innovación del sistema PAC States radica en tres aspectos: (a) la construcción de los estados sobre señales de oximetría portátil (SpO₂ + FC + MOV) sin EEG ni PSG; (b) la arquitectura triescala simultánea (30 s, 5 min, 30 min) que captura la dinámica a diferentes horizontes temporales; y (c) la validación de la especialización funcional de los estados mediante correlaciones con índices clínicos independientes.</w:t>
      </w:r>
    </w:p>
    <w:p w14:paraId="27C677B1" w14:textId="77777777" w:rsidR="000D0080" w:rsidRDefault="00000000">
      <w:pPr>
        <w:spacing w:after="160" w:line="276" w:lineRule="auto"/>
        <w:jc w:val="both"/>
      </w:pPr>
      <w:r>
        <w:t>La elección del número de estados por escala —K = 7 para escala S, K = 5 para M, K = 4 para L— fue guiada por criterios de silhouette y estabilidad entre inicializaciones, no por analogía con la taxonomía de estadios del sueño de la AASM. El resultado es que los estados PAC no se mapean directamente a los estadios clásicos (N1, N2, N3, REM), pero sí correlacionan con índices de severidad de manera diferencial: S4 con ODI3 (ρ = +0,690), M1 con T90 (ρ = +0,744), L0 con T90 (ρ = +0,705). Esta especialización funcional sugiere que los estados PAC capturan dimensiones de la fisiología nocturna que los estadios del sueño convencionales no sintetizan, porque los estadios AASM fueron definidos con criterios de actividad cortical, no de severidad hipóxica o reactividad autonómica.</w:t>
      </w:r>
    </w:p>
    <w:p w14:paraId="03EA95D3" w14:textId="77777777" w:rsidR="000D0080" w:rsidRDefault="00000000">
      <w:pPr>
        <w:pStyle w:val="Ttulo2"/>
      </w:pPr>
      <w:r>
        <w:t>9.3.2  Especialización funcional: el hallazgo central del Cap05</w:t>
      </w:r>
    </w:p>
    <w:p w14:paraId="59826EEE" w14:textId="77777777" w:rsidR="000D0080" w:rsidRDefault="00000000">
      <w:pPr>
        <w:spacing w:after="160" w:line="276" w:lineRule="auto"/>
        <w:jc w:val="both"/>
      </w:pPr>
      <w:r>
        <w:t>El hallazgo de especialización funcional entre las tres escalas temporales —cada escala predice una dimensión diferente de la severidad nocturna— es el resultado de mayor originalidad del Cap05 y uno de los más relevantes para la interpretación clínica. La escala S (30 s) es el mejor predictor de la frecuencia de eventos (ODI3), porque su resolución temporal permite capturar la microdinámica ciclo a ciclo de la desaturación y recuperación. La escala M (5 min) es el mejor predictor de la carga hipóxica integrada (T90), porque su ventana temporal corresponde al régimen de regulación ventilatoria intermedia: lo suficientemente larga como para integrar rachas de eventos, lo suficientemente corta como para sensible a cambios posturales y de posición del sueño. La escala L (30 min) captura la arquitectura global de la noche: si el perfil de la primera mitad de la noche —dominado por L0, hipoxemia sostenida— es cualitativamente distinto del de la segunda mitad, eso no es visible desde las escalas S y M.</w:t>
      </w:r>
    </w:p>
    <w:p w14:paraId="7BE691E6" w14:textId="77777777" w:rsidR="000D0080" w:rsidRDefault="00000000">
      <w:pPr>
        <w:spacing w:after="160" w:line="276" w:lineRule="auto"/>
        <w:jc w:val="both"/>
      </w:pPr>
      <w:r>
        <w:t>Esta disociación funcional entre escalas tiene una implicación metodológica importante: la evaluación de la severidad del SAOS a partir de señales de oximetría domiciliaria no puede reducirse a un único índice global calculado sobre la noche completa. La estructura temporal importa, y importa de manera diferente según la dimensión de severidad que se busque cuantificar. El vector de 24 features PAC (21 fracciones de estados más 3 entropías de transición) captura esa estructura de manera compacta, sin requerir anotación manual de eventos ni clasificación de estadios de sueño.</w:t>
      </w:r>
    </w:p>
    <w:p w14:paraId="577824E8" w14:textId="77777777" w:rsidR="000D0080" w:rsidRDefault="00000000">
      <w:pPr>
        <w:pStyle w:val="Ttulo2"/>
      </w:pPr>
      <w:r>
        <w:t>9.3.3  Variabilidad intraindividual como información</w:t>
      </w:r>
    </w:p>
    <w:p w14:paraId="372CB7F7" w14:textId="77777777" w:rsidR="000D0080" w:rsidRDefault="00000000">
      <w:pPr>
        <w:spacing w:after="160" w:line="276" w:lineRule="auto"/>
        <w:jc w:val="both"/>
      </w:pPr>
      <w:r>
        <w:t xml:space="preserve">La literatura clásica del sueño trata la variabilidad noche a noche como ruido: las guías de estadificación recomiendan estudios repetidos para obtener estimaciones estables de los índices de severidad (Masa et al., 2011). El Proyecto APNEA propone la perspectiva opuesta: la variabilidad intraindividual —las diferencias entre las noches de un mismo paciente— es información diagnóstica, no ruido estadístico. Las distintas noches de un paciente reflejan la modulación del fenotipo fisiológico por factores situacionales (postura, alcohol, fatiga, temperatura ambiente), y esa modulación puede ser clínicamente relevante </w:t>
      </w:r>
      <w:r>
        <w:lastRenderedPageBreak/>
        <w:t>si ciertos desencadenantes están sistemáticamente asociados a noches de mayor severidad.</w:t>
      </w:r>
    </w:p>
    <w:p w14:paraId="499A56D9" w14:textId="77777777" w:rsidR="000D0080" w:rsidRDefault="00000000">
      <w:pPr>
        <w:spacing w:after="160" w:line="276" w:lineRule="auto"/>
        <w:jc w:val="both"/>
      </w:pPr>
      <w:r>
        <w:t>El análisis de trayectorias nocturnas (K = 3, NB05 §6) materializa esta perspectiva: los tres fenotipos de trayectoria (Estable-Protector, Carga Intermedia, Carga Hipóxica Alta) no describen pacientes distintos sino noches distintas de los mismos pacientes. El hallazgo de que el fenotipo de Carga Hipóxica Alta (CHA) aparece con frecuencia en pacientes clasificados como SAOS moderado según su ODI3 nocturno medio es particularmente relevante: implica que algunos pacientes moderados tienen noches puntualmente severas que el promedio enmascara, y que esas noches podrían ser identificadas prospectivamente mediante las representaciones PAC antes de que se consolide la carga hipóxica acumulada.</w:t>
      </w:r>
    </w:p>
    <w:p w14:paraId="41028DB0" w14:textId="77777777" w:rsidR="000D0080" w:rsidRDefault="00000000">
      <w:pPr>
        <w:pStyle w:val="Ttulo1"/>
        <w:pBdr>
          <w:bottom w:val="single" w:sz="4" w:space="4" w:color="D0D8E4"/>
        </w:pBdr>
      </w:pPr>
      <w:r>
        <w:t>9.4  Acoplamiento morfotipo–estado: la estructura no aleatoria del riesgo nocturno</w:t>
      </w:r>
    </w:p>
    <w:p w14:paraId="1A025E06" w14:textId="77777777" w:rsidR="000D0080" w:rsidRDefault="00000000">
      <w:pPr>
        <w:spacing w:after="160" w:line="276" w:lineRule="auto"/>
        <w:jc w:val="both"/>
      </w:pPr>
      <w:r>
        <w:t>El acoplamiento entre el estado fisiológico activo y la morfología del evento que ocurre en él es el concepto articulador del Cap06. Por construcción del pipeline, todo EDO ocurre dentro de algún estado PAC activo; la pregunta analítica no es si se superponen —necesariamente lo hacen— sino si esa superposición tiene estructura no aleatoria: si ciertos estados concentran morfotipos severos de manera que excede la proporción esperable bajo independencia.</w:t>
      </w:r>
    </w:p>
    <w:p w14:paraId="67DDD1C9" w14:textId="77777777" w:rsidR="000D0080" w:rsidRDefault="00000000">
      <w:pPr>
        <w:spacing w:after="160" w:line="276" w:lineRule="auto"/>
        <w:jc w:val="both"/>
      </w:pPr>
      <w:r>
        <w:t>La respuesta es afirmativa en las tres escalas: V de Cramér = 0,356 (escala S), 0,231 (M) y 0,196 (L). Los estados de mayor concentración de morfotipos C4+C5 son S2, S4 y S6 en la escala S; M1 y M3 en la M; y L0 y L1 en la L. Las tasas de riesgo relativo (RR) son clínicamente interpretables: un evento que ocurre en estado S6 tiene 4,9 veces más probabilidad de ser C4 o C5 que uno que ocurre en un estado protector. Esta estructura implica que el contexto dinámico de la noche —el estado PAC activo en el momento del evento— es informativo sobre la severidad probable del evento que está ocurriendo, incluso antes de observar la forma completa de la curva.</w:t>
      </w:r>
    </w:p>
    <w:p w14:paraId="43C60268" w14:textId="77777777" w:rsidR="000D0080" w:rsidRDefault="00000000">
      <w:pPr>
        <w:spacing w:after="160" w:line="276" w:lineRule="auto"/>
        <w:jc w:val="both"/>
      </w:pPr>
      <w:r>
        <w:t>La relación entre acoplamiento y resiliencia post-evento —la probabilidad de que el estado permanezca igual tras un evento severo— añade una dimensión temporal relevante: la inercia del estado es creciente con la escala (S = 43,3 %, M = 12,3 %, L = 1,3 %). Esto implica que los estados de mayor riesgo en la escala S son más efímeros —el sistema puede salir de ellos con relativa rapidez— mientras que los estados de riesgo en la escala L son más persistentes: una vez que la arquitectura global de la noche adopta un patrón L0 (hipoxemia sostenida), el sistema tiende a permanecer en ese régimen durante períodos prolongados. Esta inercia creciente con la escala es el fundamento fisiológico de la predicción prospectiva con horizonte de 5–15 min implementada en el Cap08.</w:t>
      </w:r>
    </w:p>
    <w:p w14:paraId="1E572953" w14:textId="77777777" w:rsidR="000D0080" w:rsidRDefault="00000000">
      <w:pPr>
        <w:pStyle w:val="Ttulo1"/>
        <w:pBdr>
          <w:bottom w:val="single" w:sz="4" w:space="4" w:color="D0D8E4"/>
        </w:pBdr>
      </w:pPr>
      <w:r>
        <w:t>9.5  De la caracterización al pronóstico: los modelos NB07 y NB08 frente a la literatura</w:t>
      </w:r>
    </w:p>
    <w:p w14:paraId="10D90AF4" w14:textId="77777777" w:rsidR="000D0080" w:rsidRDefault="00000000">
      <w:pPr>
        <w:pStyle w:val="Ttulo2"/>
      </w:pPr>
      <w:r>
        <w:t>9.5.1  Clasificación retrospectiva vs. predicción prospectiva</w:t>
      </w:r>
    </w:p>
    <w:p w14:paraId="7185F626" w14:textId="77777777" w:rsidR="000D0080" w:rsidRDefault="00000000">
      <w:pPr>
        <w:spacing w:after="160" w:line="276" w:lineRule="auto"/>
        <w:jc w:val="both"/>
      </w:pPr>
      <w:r>
        <w:t xml:space="preserve">Los módulos NB07 y NB08 representan dos preguntas analíticamente distintas. NB07 pregunta: dado que un evento está ocurriendo ahora, ¿cuál es su morfotipo probable y el </w:t>
      </w:r>
      <w:r>
        <w:lastRenderedPageBreak/>
        <w:t>riesgo nocturno acumulado? NB08 pregunta: dado el estado fisiológico ahora, ¿habrá un evento severo en los próximos H minutos? La distinción no es solo técnica: implica que NB08 opera sin señal de evento en curso, lo que lo hace más difícil (AUC 8 puntos menor que NB07) pero también más útil clínicamente, porque habilita la intervención antes de que el evento comience.</w:t>
      </w:r>
    </w:p>
    <w:p w14:paraId="3B4102E5" w14:textId="77777777" w:rsidR="000D0080" w:rsidRDefault="00000000">
      <w:pPr>
        <w:spacing w:after="160" w:line="276" w:lineRule="auto"/>
        <w:jc w:val="both"/>
      </w:pPr>
      <w:r>
        <w:t>En la literatura de predicción de eventos en señales fisiológicas portátiles, el rendimiento de NB08 (AUC = 0,821 ± 0,022 para H = 5 min) es competitivo con trabajos comparables. Clifton et al. (2015) reportan AUC entre 0,78 y 0,85 para predicción de deterioro clínico en pacientes hospitalizados monitorizados con sensores portátiles, usando horizontes de 1–6 h. La diferencia de escala temporal —horas vs. minutos— refleja diferencias en la velocidad de los procesos fisiopatológicos relevantes: en SAOS, los eventos se desarrollan en segundos a minutos, y un lead time de 5 min es clínicamente suficiente para una intervención de estimulación. En monitoreo hospitalario de sepsis o deterioro hemodinámico, la escala temporal es de horas.</w:t>
      </w:r>
    </w:p>
    <w:p w14:paraId="4818E508" w14:textId="77777777" w:rsidR="000D0080" w:rsidRDefault="00000000">
      <w:pPr>
        <w:spacing w:after="160" w:line="276" w:lineRule="auto"/>
        <w:jc w:val="both"/>
      </w:pPr>
      <w:r>
        <w:t>Un precedente más cercano es el trabajo de Behar et al. (2019) sobre predicción de desaturaciones nocturnas con señales de oxímetro de pulso portátil, que reporta AUC de 0,75–0,82 en ventanas de análisis de 5–10 min. El sistema PAC obtiene resultados comparables pero con la ventaja adicional de la validación LOPO-CV estricta: cada fold excluye todas las noches de un paciente, lo que previene la inflación del AUC por dependencia longitudinal —un problema metodológico frecuente en la literatura de ML en señales biomédicas, donde la partición aleatoria de ventanas ignora la estructura jerárquica de los datos (paciente → noche → ventana).</w:t>
      </w:r>
    </w:p>
    <w:p w14:paraId="7E173593" w14:textId="77777777" w:rsidR="000D0080" w:rsidRDefault="00000000">
      <w:pPr>
        <w:pStyle w:val="Ttulo2"/>
      </w:pPr>
      <w:r>
        <w:t>9.5.2  Importancia de features: la posición temporal y la historia dinámica</w:t>
      </w:r>
    </w:p>
    <w:p w14:paraId="5B6F4827" w14:textId="77777777" w:rsidR="000D0080" w:rsidRDefault="00000000">
      <w:pPr>
        <w:spacing w:after="160" w:line="276" w:lineRule="auto"/>
        <w:jc w:val="both"/>
      </w:pPr>
      <w:r>
        <w:t>Un resultado interpretativo relevante de NB08 es la jerarquía de features: window_position (posición temporal dentro de la noche) y ci_sofar (coupling index acumulado hasta el momento) dominan la importancia en todos los horizontes, con el estado PAC activo como tercera dimensión relevante para H = 2 min. Que la posición temporal sea el predictor más informativo es coherente con la literatura cronobiológica del SAOS: la distribución de los eventos severos no es uniforme a lo largo de la noche en todos los pacientes; en algunos, los episodios de mayor severidad se concentran en la segunda mitad de la noche, posiblemente en asociación con la mayor proporción de sueño REM (Lévy et al., 2015). Sin embargo, el perfil de riesgo predicho por NB08 es sorprendentemente plano a lo largo de los deciles de la noche, lo que sugiere que window_position opera más como covariable de contexto que como predictor de un pico temporal sistemático.</w:t>
      </w:r>
    </w:p>
    <w:p w14:paraId="572FF4D5" w14:textId="77777777" w:rsidR="000D0080" w:rsidRDefault="00000000">
      <w:pPr>
        <w:spacing w:after="160" w:line="276" w:lineRule="auto"/>
        <w:jc w:val="both"/>
      </w:pPr>
      <w:r>
        <w:t>El ci_sofar —historia dinámica acumulada del acoplamiento— es el predictor que más directamente materializa la hipótesis conceptual del proyecto: la severidad futura no es independiente del contexto dinámico pasado. Un paciente que ha pasado las últimas horas en estados de alto acoplamiento (ci_sofar elevado) presenta mayor probabilidad de que el próximo evento sea severo. Este resultado es la validación prospectiva de la estructura de acoplamiento descrita en el Cap06: si el acoplamiento fuera un artefacto espurio del clustering, no debería predecir eventos futuros con la consistencia observada.</w:t>
      </w:r>
    </w:p>
    <w:p w14:paraId="65D06219" w14:textId="77777777" w:rsidR="000D0080" w:rsidRDefault="00000000">
      <w:pPr>
        <w:pStyle w:val="Ttulo2"/>
      </w:pPr>
      <w:r>
        <w:t>9.5.3  El lead time de 5 min como condición algorítmica mínima</w:t>
      </w:r>
    </w:p>
    <w:p w14:paraId="0650474E" w14:textId="77777777" w:rsidR="000D0080" w:rsidRDefault="00000000">
      <w:pPr>
        <w:spacing w:after="160" w:line="276" w:lineRule="auto"/>
        <w:jc w:val="both"/>
      </w:pPr>
      <w:r>
        <w:t xml:space="preserve">El concepto de condición algorítmica mínima para la intervención adaptativa es central a la interpretación de NB08. El análisis no demuestra que el estimulador transcutáneo del </w:t>
      </w:r>
      <w:r>
        <w:lastRenderedPageBreak/>
        <w:t>SOMNI 6000 sea terapéuticamente efectivo —eso requeriría un ensayo clínico controlado con estimulación activa vs. placebo. Lo que el análisis establece es la condición previa: que existe, en las representaciones PAC construidas sobre oximetría domiciliaria, información predictiva prospectiva con horizonte suficiente para que una intervención sea algorítmicamente posible. El lead time de 5 min supera el tiempo de ramp-up fisiológico del estimulador transcutáneo (≥ 90 s; Clifton et al., 2015) por un factor mayor a 3, lo que establece que, de existir un efecto terapéutico, la ventana de anticipación sería suficiente para activarlo.</w:t>
      </w:r>
    </w:p>
    <w:p w14:paraId="50CC363B" w14:textId="77777777" w:rsidR="000D0080" w:rsidRDefault="00000000">
      <w:pPr>
        <w:spacing w:after="160" w:line="276" w:lineRule="auto"/>
        <w:jc w:val="both"/>
      </w:pPr>
      <w:r>
        <w:t>Este tipo de argumento —demostrar la condición algorítmica mínima antes de diseñar el ensayo clínico— es consistente con la metodología de desarrollo de dispositivos médicos adaptativos, donde la validación analítica precede a la validación clínica (FDA, 2019). La cadena de evidencia propuesta por el Proyecto APNEA sigue esta lógica: Cap04–06 establecen que las representaciones PAC contienen información diagnóstica de valor clínico; Cap08 establece que esa información transporta contenido predictivo prospectivo; el ensayo clínico, como trabajo futuro, evaluaría si actuar sobre esa predicción tiene efecto terapéutico.</w:t>
      </w:r>
    </w:p>
    <w:p w14:paraId="4549466E" w14:textId="77777777" w:rsidR="000D0080" w:rsidRDefault="00000000">
      <w:pPr>
        <w:pStyle w:val="Ttulo1"/>
        <w:pBdr>
          <w:bottom w:val="single" w:sz="4" w:space="4" w:color="D0D8E4"/>
        </w:pBdr>
      </w:pPr>
      <w:r>
        <w:t>9.6  Oximetría domiciliaria como plataforma de fenotipado: alcances y comparación con el PSG</w:t>
      </w:r>
    </w:p>
    <w:p w14:paraId="271FD15D" w14:textId="77777777" w:rsidR="000D0080" w:rsidRDefault="00000000">
      <w:pPr>
        <w:spacing w:after="160" w:line="276" w:lineRule="auto"/>
        <w:jc w:val="both"/>
      </w:pPr>
      <w:r>
        <w:t>Una dimensión transversal a toda la tesis es el posicionamiento de la oximetría domiciliaria portátil frente al gold standard de la polisomnografía completa. La PSG proporciona información que la oximetría domiciliaria no puede replicar: electroencefalografía (estadios del sueño), electromiografía (arousal muscular), capnografía (CO₂ expirado) y videomonitoreo. El AHI, en sentido estricto, requiere PSG para su cálculo. La oximetría domiciliaria —aun con el enriquecimiento analítico que el pipeline PAC añade— no pretende sustituir al PSG en la caracterización diagnóstica completa.</w:t>
      </w:r>
    </w:p>
    <w:p w14:paraId="0AAFA9BD" w14:textId="77777777" w:rsidR="000D0080" w:rsidRDefault="00000000">
      <w:pPr>
        <w:spacing w:after="160" w:line="276" w:lineRule="auto"/>
        <w:jc w:val="both"/>
      </w:pPr>
      <w:r>
        <w:t>Sin embargo, la literatura ha documentado que la oximetría domiciliaria portable ofrece un rendimiento diagnóstico razonablemente comparable al PSG para la detección y estratificación del SAOS moderado a severo (Duran-Cantolla et al., 2010; Masa et al., 2011). En ese rango de severidad, el ODI3 tiene alta concordancia con el AHI (correlaciones ρ &gt; 0,85 en cohortes representativas), y el T90 añade información pronóstica independiente. El valor que PAC añade sobre los índices convencionales es la estructura: la morfología de los eventos, la dinámica de los estados y el acoplamiento entre ambos son dimensiones que el PSG convencional no captura —porque su objetivo de diseño fue la estadificación del sueño, no el fenotipado morfológico de los eventos individuales.</w:t>
      </w:r>
    </w:p>
    <w:p w14:paraId="100F800B" w14:textId="77777777" w:rsidR="000D0080" w:rsidRDefault="00000000">
      <w:pPr>
        <w:spacing w:after="160" w:line="276" w:lineRule="auto"/>
        <w:jc w:val="both"/>
      </w:pPr>
      <w:r>
        <w:t>La afirmación central de la tesis en este plano es que la oximetría portátil de un único sensor, adecuadamente procesada mediante el pipeline PAC_v3, puede producir representaciones fenotípicas de complejidad comparable a las derivadas de estudios completos para las dimensiones que PAC aborda. Esta afirmación es evaluable empíricamente: comparar los morfotipos C1–C5 y los estados PAC obtenidos sobre la cohorte PAC_v2 con los obtenidos sobre una cohorte con PSG simultánea permitiría cuantificar la pérdida de información diagnóstica. Esta comparación queda como trabajo futuro explícito, condicionada a la disponibilidad de una cohorte de validación con PSG y oximetría portátil paralelas.</w:t>
      </w:r>
    </w:p>
    <w:p w14:paraId="3DAFEB4E" w14:textId="77777777" w:rsidR="000D0080" w:rsidRDefault="00000000">
      <w:pPr>
        <w:pStyle w:val="Ttulo1"/>
        <w:pBdr>
          <w:bottom w:val="single" w:sz="4" w:space="4" w:color="D0D8E4"/>
        </w:pBdr>
      </w:pPr>
      <w:r>
        <w:lastRenderedPageBreak/>
        <w:t>9.7  Hacia la terapéutica automática del SAOS severo: condición algorítmica y agenda clínica</w:t>
      </w:r>
    </w:p>
    <w:p w14:paraId="20E2E9DA" w14:textId="77777777" w:rsidR="000D0080" w:rsidRDefault="00000000">
      <w:pPr>
        <w:pStyle w:val="Ttulo2"/>
      </w:pPr>
      <w:r>
        <w:t>9.7.1  Lo que esta tesis establece</w:t>
      </w:r>
    </w:p>
    <w:p w14:paraId="3C3213DB" w14:textId="77777777" w:rsidR="000D0080" w:rsidRDefault="00000000">
      <w:pPr>
        <w:spacing w:after="160" w:line="276" w:lineRule="auto"/>
        <w:jc w:val="both"/>
      </w:pPr>
      <w:r>
        <w:t>El Proyecto APNEA establece, sobre una cohorte de 12 pacientes (8 en los módulos supervisados) y 553 noches de calidad, las siguientes proposiciones analíticas: (a) los eventos de desaturación de oxígeno pueden fenotipificarse morfológicamente en cinco morfotipos (C1–C5) mediante agrupamiento no supervisado sobre la curva normalizada de SpO₂, y esa fenotipia es reproducible entre noches para un mismo paciente; (b) la fisiología nocturna puede representarse como un sistema de estados dinámicos a tres escalas temporales (S/M/L), con estados especializados funcionalmente para predecir la frecuencia, la carga hipóxica integrada y la reactividad autonómica respectivamente; (c) el acoplamiento entre los estados activos y la morfología de los eventos que ocurren en ellos tiene estructura no aleatoria cuantificable (V de Cramér 0,196–0,356), con estados de riesgo relativo hasta 4,9× mayor para morfotipos severos; (d) las representaciones PAC permiten clasificar la severidad del evento individual con AUC = 0,878 y el riesgo nocturno con AUC = 0,905, con validación estricta LOPO-CV; y (e) esas representaciones transportan información predictiva prospectiva con horizonte H = 5 min y AUC = 0,821 ± 0,022, con consistencia entre los ocho pacientes de la cohorte.</w:t>
      </w:r>
    </w:p>
    <w:p w14:paraId="68309338" w14:textId="77777777" w:rsidR="000D0080" w:rsidRDefault="00000000">
      <w:pPr>
        <w:spacing w:after="160" w:line="276" w:lineRule="auto"/>
        <w:jc w:val="both"/>
      </w:pPr>
      <w:r>
        <w:t>Estas proposiciones, en su conjunto, conforman la evidencia analítica previa que justifica el diseño de una intervención adaptativa basada en el estado PAC. No demuestran que la intervención sea efectiva —eso requiere un ensayo clínico controlado— pero establecen que las representaciones sobre las que se basaría contienen información predictiva real, generalizable entre pacientes, con horizonte temporal suficiente.</w:t>
      </w:r>
    </w:p>
    <w:p w14:paraId="2A8CC34E" w14:textId="77777777" w:rsidR="000D0080" w:rsidRDefault="00000000">
      <w:pPr>
        <w:pStyle w:val="Ttulo2"/>
      </w:pPr>
      <w:r>
        <w:t>9.7.2  La heterogeneidad inter-paciente como barrera principal</w:t>
      </w:r>
    </w:p>
    <w:p w14:paraId="752D59C1" w14:textId="77777777" w:rsidR="000D0080" w:rsidRDefault="00000000">
      <w:pPr>
        <w:spacing w:after="160" w:line="276" w:lineRule="auto"/>
        <w:jc w:val="both"/>
      </w:pPr>
      <w:r>
        <w:t>El resultado que más claramente condiciona la traslación clínica de NB08 no es el AUC sino la heterogeneidad inter-paciente en prevalencia de eventos severos: desde el 1,6 % del paciente con menor carga hasta el 32,1 % del de mayor carga —un rango de 20 veces. Esta variación implica que un umbral global de activación del estimulador, calibrado sobre el corpus completo, es subóptimo para todos los pacientes individualmente. Un sistema clínicamente viable requeriría una fase inicial de caracterización individualizada: las primeras noches de monitoreo —sin activación del estimulador— servirían para estimar la prevalencia de eventos severos en ese paciente particular y ajustar el umbral de detección en consecuencia. Este diseño de "umbral adaptativo por paciente" es coherente con la estructura del protocolo clínico del SOMNI 6000 y con las recomendaciones de la literatura de sistemas de alerta clínica portátiles (Clifton et al., 2015).</w:t>
      </w:r>
    </w:p>
    <w:p w14:paraId="67D939D2" w14:textId="77777777" w:rsidR="000D0080" w:rsidRDefault="00000000">
      <w:pPr>
        <w:spacing w:after="160" w:line="276" w:lineRule="auto"/>
        <w:jc w:val="both"/>
      </w:pPr>
      <w:r>
        <w:t>La paradoja del Pac 314 —el paciente de menor prevalencia del corpus exhibe el AUC más alto (0,87–0,84 en todos los horizontes)— es reveladora en este contexto: la capacidad discriminativa del sistema PAC no está condicionada por la frecuencia absoluta de los eventos severos, sino por el grado en que el estado fisiológico previo al evento es distinguible del estado habitual del paciente. Cuando ocurren los escasos eventos severos de Pac 314, el sistema PAC los anticipa con muy alta precisión relativa, precisamente porque esos eventos son inusuales en el contexto de su fisiología habitual.</w:t>
      </w:r>
    </w:p>
    <w:p w14:paraId="138C1F1C" w14:textId="77777777" w:rsidR="000D0080" w:rsidRDefault="00000000">
      <w:pPr>
        <w:pStyle w:val="Ttulo2"/>
      </w:pPr>
      <w:r>
        <w:t>9.7.3  La circularidad PAC y el requisito de validación externa</w:t>
      </w:r>
    </w:p>
    <w:p w14:paraId="01922548" w14:textId="77777777" w:rsidR="000D0080" w:rsidRDefault="00000000">
      <w:pPr>
        <w:spacing w:after="160" w:line="276" w:lineRule="auto"/>
        <w:jc w:val="both"/>
      </w:pPr>
      <w:r>
        <w:lastRenderedPageBreak/>
        <w:t>La limitación metodológica más relevante del arco analítico completo es la circularidad potencial de las representaciones PAC. Los morfotipos C1–C5 y los estados S/M/L fueron construidos mediante clustering no supervisado sobre la misma cohorte de 8 pacientes que se utiliza para evaluar los modelos predictivos supervisados. La validación LOPO-CV mitiga parcialmente este problema en los modelos predictivos, pero no lo elimina: los modelos de clustering se entrenaron sobre todos los pacientes, incluido el fold de evaluación. Si los clusters capturan implícitamente patrones de riesgo correlacionados con la composición de la cohorte de entrenamiento, parte del AUC reportado podría reflejar esa dependencia circular.</w:t>
      </w:r>
    </w:p>
    <w:p w14:paraId="5EACDFCB" w14:textId="77777777" w:rsidR="000D0080" w:rsidRDefault="00000000">
      <w:pPr>
        <w:spacing w:after="160" w:line="276" w:lineRule="auto"/>
        <w:jc w:val="both"/>
      </w:pPr>
      <w:r>
        <w:t>La solución metodológica correcta requiere una de dos estrategias: (a) validación en una cohorte externa independiente, con morphotipos y estados PAC aprendidos de forma completamente separada; o (b) reconstrucción de los clusters PAC dentro de cada fold de entrenamiento de la validación LOPO-CV, aplicándolos al fold de evaluación sin contaminación. Ninguna de estas estrategias es computacionalmente trivial con el tamaño actual de la cohorte, pero ambas son necesarias para establecer la generalización de los resultados más allá de la cohorte PAC_v2. Esta cohorte externa es el trabajo futuro de mayor prioridad metodológica para las publicaciones T2, T3 y T4 proyectadas.</w:t>
      </w:r>
    </w:p>
    <w:p w14:paraId="29126822" w14:textId="77777777" w:rsidR="000D0080" w:rsidRDefault="00000000">
      <w:pPr>
        <w:pStyle w:val="Ttulo2"/>
      </w:pPr>
      <w:r>
        <w:t>9.7.4  El camino al ensayo clínico controlado</w:t>
      </w:r>
    </w:p>
    <w:p w14:paraId="4231A92F" w14:textId="77777777" w:rsidR="000D0080" w:rsidRDefault="00000000">
      <w:pPr>
        <w:spacing w:after="160" w:line="276" w:lineRule="auto"/>
        <w:jc w:val="both"/>
      </w:pPr>
      <w:r>
        <w:t>El diseño de un ensayo clínico controlado para evaluar la eficacia terapéutica de la estimulación basada en el estado PAC requeriría, como mínimo: (a) una cohorte de validación externa de al menos 30–50 pacientes con SAOS moderado-severo, con PSG basal para confirmar el diagnóstico; (b) una fase de caracterización domiciliaria de 7–14 noches sin estimulación para estimar los parámetros individuales del pipeline PAC; (c) asignación aleatoria a estimulación activa vs. placebo (estimulador inactivo) durante un período de seguimiento de 4–8 semanas; y (d) evaluación de desenlaces primarios (ODI3, T90, carga hipóxica) y secundarios (calidad de sueño subjetiva, somnolencia diurna, presión arterial). Este diseño, análogo al utilizado en estudios de dispositivos de CPAP en modalidad auto-titulante (Lévy et al., 2015), permitiría cerrar la brecha entre la factibilidad analítica demostrada por esta tesis y la eficacia terapéutica requerida para la aprobación regulatoria.</w:t>
      </w:r>
    </w:p>
    <w:p w14:paraId="063438D5" w14:textId="77777777" w:rsidR="000D0080" w:rsidRDefault="00000000">
      <w:pPr>
        <w:pStyle w:val="Ttulo1"/>
        <w:pBdr>
          <w:bottom w:val="single" w:sz="4" w:space="4" w:color="D0D8E4"/>
        </w:pBdr>
      </w:pPr>
      <w:r>
        <w:t>9.8  Limitaciones integradas del arco analítico</w:t>
      </w:r>
    </w:p>
    <w:p w14:paraId="1C75052B" w14:textId="77777777" w:rsidR="000D0080" w:rsidRDefault="00000000">
      <w:pPr>
        <w:spacing w:after="160" w:line="276" w:lineRule="auto"/>
        <w:jc w:val="both"/>
      </w:pPr>
      <w:r>
        <w:t>Las limitaciones del Proyecto APNEA han sido discutidas en cada capítulo de resultados; el presente capítulo las articula como un conjunto coherente para identificar su impacto combinado sobre la interpretación de las contribuciones.</w:t>
      </w:r>
    </w:p>
    <w:p w14:paraId="50540887" w14:textId="77777777" w:rsidR="000D0080" w:rsidRDefault="00000000">
      <w:pPr>
        <w:spacing w:after="160" w:line="276" w:lineRule="auto"/>
        <w:jc w:val="both"/>
      </w:pPr>
      <w:r>
        <w:rPr>
          <w:b/>
          <w:bCs/>
        </w:rPr>
        <w:t xml:space="preserve">Tamaño muestral. </w:t>
      </w:r>
      <w:r>
        <w:t>La cohorte comprende 12 pacientes en los análisis descriptivos y 8 en los módulos supervisados. Para análisis no supervisados sobre el corpus de 85.277 eventos, el n es estadísticamente robusto; para los modelos supervisados validados con LOPO-CV, el n efectivo es 8 pacientes —cada fold entrena sobre 7. La consistencia del AUC entre folds (SD &lt; 3 puntos en NB07 y NB08) es alentadora, pero el intervalo de confianza implícito sobre las métricas reportadas es amplio. Ninguno de los resultados supervisados debería interpretarse como evidencia de generalización poblacional; esa interpretación requiere la cohorte externa discutida en §9.7.3.</w:t>
      </w:r>
    </w:p>
    <w:p w14:paraId="42D80EF1" w14:textId="77777777" w:rsidR="000D0080" w:rsidRDefault="00000000">
      <w:pPr>
        <w:spacing w:after="160" w:line="276" w:lineRule="auto"/>
        <w:jc w:val="both"/>
      </w:pPr>
      <w:r>
        <w:rPr>
          <w:b/>
          <w:bCs/>
        </w:rPr>
        <w:lastRenderedPageBreak/>
        <w:t xml:space="preserve">Sesgo de selección. </w:t>
      </w:r>
      <w:r>
        <w:t>La cohorte PAC_v2 proviene de una práctica médica privada especializada en trastornos respiratorios del sueño, lo que introduce un sesgo clínico conocido: sobrerepresentación de pacientes con SAOS moderado-severo y relativa exclusión de SAOS leve y controles sin diagnóstico. Los modelos entrenados sobre esta cohorte podrían tener un rendimiento distinto en una cohorte de tamizaje poblacional, donde la prevalencia de eventos severos sería menor y la heterogeneidad de los fenotipos, mayor.</w:t>
      </w:r>
    </w:p>
    <w:p w14:paraId="75C1FC9A" w14:textId="77777777" w:rsidR="000D0080" w:rsidRDefault="00000000">
      <w:pPr>
        <w:spacing w:after="160" w:line="276" w:lineRule="auto"/>
        <w:jc w:val="both"/>
      </w:pPr>
      <w:r>
        <w:rPr>
          <w:b/>
          <w:bCs/>
        </w:rPr>
        <w:t xml:space="preserve">Ausencia de PSG simultánea. </w:t>
      </w:r>
      <w:r>
        <w:t>La cohorte no dispone de polisomnografía paralela a los registros de oximetría domiciliaria. Esto impide la comparación directa de los morfotipos C1–C5 y los estados PAC con los estadios del sueño convencionales, y limita la calibración del ODI3 como subrogante del AHI a la literatura publicada en lugar de a datos propios.</w:t>
      </w:r>
    </w:p>
    <w:p w14:paraId="2E04A3F8" w14:textId="77777777" w:rsidR="000D0080" w:rsidRDefault="00000000">
      <w:pPr>
        <w:spacing w:after="160" w:line="276" w:lineRule="auto"/>
        <w:jc w:val="both"/>
      </w:pPr>
      <w:r>
        <w:rPr>
          <w:b/>
          <w:bCs/>
        </w:rPr>
        <w:t xml:space="preserve">Circularidad PAC. </w:t>
      </w:r>
      <w:r>
        <w:t>Como se detalló en §9.7.3, los modelos no supervisados que definen las representaciones PAC fueron construidos sobre la misma cohorte que los modelos supervisados. La validación LOPO-CV mitiga pero no elimina la circularidad. Este es el límite metodológico más importante del arco analítico y el que la validación externa resolvería directamente.</w:t>
      </w:r>
    </w:p>
    <w:p w14:paraId="03133CE3" w14:textId="77777777" w:rsidR="000D0080" w:rsidRDefault="00000000">
      <w:pPr>
        <w:spacing w:after="160" w:line="276" w:lineRule="auto"/>
        <w:jc w:val="both"/>
      </w:pPr>
      <w:r>
        <w:rPr>
          <w:b/>
          <w:bCs/>
        </w:rPr>
        <w:t xml:space="preserve">Calibración de probabilidades. </w:t>
      </w:r>
      <w:r>
        <w:t>Los modelos LightGBM de NB07 y NB08 producen probabilidades pobremente calibradas en términos absolutos —sobreestimación de ~4× para NB08— aunque las métricas de discriminación (AUC, AP) son robustas. Un sistema de activación clínica que utilice las probabilidades del modelo en sus valores absolutos requeriría una etapa de calibración explícita (Platt scaling o isotónica) antes de cualquier uso operacional.</w:t>
      </w:r>
    </w:p>
    <w:p w14:paraId="14137123" w14:textId="77777777" w:rsidR="000D0080" w:rsidRDefault="00000000">
      <w:pPr>
        <w:spacing w:after="160" w:line="276" w:lineRule="auto"/>
        <w:jc w:val="both"/>
      </w:pPr>
      <w:r>
        <w:rPr>
          <w:b/>
          <w:bCs/>
        </w:rPr>
        <w:t xml:space="preserve">Efecto del estimulador: hipótesis no evaluada. </w:t>
      </w:r>
      <w:r>
        <w:t>Toda la cadena de razonamiento sobre la habilitación de la estimulación transcutánea se apoya en la hipótesis operacional de que el estímulo eléctrico genera una respuesta autonómica que reduce la probabilidad o severidad del evento anticipado. Esta hipótesis es plausible fisiopatológicamente, pero no ha sido evaluada en esta tesis ni existe, a la fecha de redacción, evidencia publicada específica para el SOMNI 6000 en SAOS. La distinción entre factibilidad algorítmica y eficacia terapéutica debe mantenerse explícita en cualquier comunicación de estos resultados.</w:t>
      </w:r>
    </w:p>
    <w:p w14:paraId="48E806AF" w14:textId="77777777" w:rsidR="000D0080" w:rsidRDefault="00000000">
      <w:pPr>
        <w:pStyle w:val="Ttulo1"/>
        <w:pBdr>
          <w:bottom w:val="single" w:sz="4" w:space="4" w:color="D0D8E4"/>
        </w:pBdr>
      </w:pPr>
      <w:r>
        <w:t>9.9  Síntesis: la cadena EDO → Estados → Acople → Fenotipia → Predicción como contribución unificada</w:t>
      </w:r>
    </w:p>
    <w:p w14:paraId="0855568C" w14:textId="77777777" w:rsidR="000D0080" w:rsidRDefault="00000000">
      <w:pPr>
        <w:spacing w:after="160" w:line="276" w:lineRule="auto"/>
        <w:jc w:val="both"/>
      </w:pPr>
      <w:r>
        <w:t>La contribución central del Proyecto APNEA es la demostración de que la fisiología nocturna del SAOS, capturada mediante un único sensor portátil domiciliario, puede representarse como un sistema dinámico estructurado con tres niveles de organización: el evento individual (morfotipo de curva + reactividad autonómica), la noche (secuencia de estados multiescala + coupling index) y el paciente (fenotipo longitudinal estable). Esos tres niveles no son independientes: el estado activo en el momento del evento predice su morfotipo probable (acoplamiento), la historia de coupling acumulada predice los eventos futuros (NB08), y el fenotipo de trayectoria nocturna predice el riesgo de noche de alta carga hipóxica (NB07 Bloque C).</w:t>
      </w:r>
    </w:p>
    <w:p w14:paraId="4CE5ECB6" w14:textId="77777777" w:rsidR="000D0080" w:rsidRDefault="00000000">
      <w:pPr>
        <w:spacing w:after="160" w:line="276" w:lineRule="auto"/>
        <w:jc w:val="both"/>
      </w:pPr>
      <w:r>
        <w:t xml:space="preserve">Esta representación PAC —continua, multiescala y longitudinal— puede describirse como un nivel intermedio entre el índice escalar (ODI3, T90) y la señal cruda (SpO₂ bruta). Los índices escalares comprimen demasiado: pierden estructura temporal y morfológica. La </w:t>
      </w:r>
      <w:r>
        <w:lastRenderedPageBreak/>
        <w:t>señal cruda es demasiado densa: no es interpretable directamente por un clínico ni procesable por un modelo predictivo de manera eficiente. Las representaciones PAC operan en el espacio que queda entre ambos extremos: son compactas (vector de ~146 features por noche), interpretables (cada feature tiene un correlato fisiológico) y predictivamente útiles (los modelos que las utilizan superan de forma consistente a los baselines).</w:t>
      </w:r>
    </w:p>
    <w:p w14:paraId="2BB6D045" w14:textId="77777777" w:rsidR="000D0080" w:rsidRDefault="00000000">
      <w:pPr>
        <w:spacing w:after="160" w:line="276" w:lineRule="auto"/>
        <w:jc w:val="both"/>
      </w:pPr>
      <w:r>
        <w:t>Frente a la literatura, las tres contribuciones principales del proyecto pueden situarse con precisión. La primera —el fenotipado morfológico de 85.277 eventos mediante K-means sobre curvas PCA-reducidas— no tiene precedente a esa escala en la literatura de oximetría portátil y propone un marco operacional transferible a otras cohortes. La segunda —la cuantificación de la especialización funcional de los estados PAC multiescala— amplía los resultados previos de análisis dinámico del sueño al mostrar que diferentes escalas temporales predicen dimensiones distintas de la severidad nocturna, un hallazgo con implicaciones para el diseño de sistemas de monitoreo adaptativo. La tercera —la predicción prospectiva con horizonte clínico (AUC = 0,821, H = 5 min)— establece la condición algorítmica mínima para una intervención terapéutica basada en el estado fisiológico, un resultado que, si se replica en una cohorte externa y se valida en ensayo controlado, podría tener impacto directo en el diseño de dispositivos de terapia adaptativa del SAOS.</w:t>
      </w:r>
    </w:p>
    <w:p w14:paraId="1F60ABDA" w14:textId="77777777" w:rsidR="000D0080" w:rsidRDefault="00000000">
      <w:pPr>
        <w:spacing w:after="160" w:line="276" w:lineRule="auto"/>
        <w:jc w:val="both"/>
      </w:pPr>
      <w:r>
        <w:t>La agenda de validación que permite avanzar desde esos resultados es concreta: cohorte externa de 30–50 pacientes con PSG simultánea; reconstrucción de clusters PAC dentro de cada fold de validación; calibración individualizada de los umbrales de predicción; y diseño del ensayo clínico controlado con el SOMNI 6000. Cada uno de esos pasos tiene precedentes metodológicos en la literatura y es implementable con el pipeline PAC_v3 en su estado actual, con extensiones acotadas. El Capítulo 10 recoge estas líneas de continuidad como parte de las conclusiones y trabajos futuros del proyecto.</w:t>
      </w:r>
    </w:p>
    <w:p w14:paraId="5AAD9A4B" w14:textId="77777777" w:rsidR="000D0080" w:rsidRDefault="00000000">
      <w:pPr>
        <w:spacing w:before="280" w:after="100"/>
      </w:pPr>
      <w:r>
        <w:rPr>
          <w:b/>
          <w:bCs/>
          <w:color w:val="1E3A5F"/>
        </w:rPr>
        <w:t>Bridge al Capítulo 10 — Conclusiones</w:t>
      </w:r>
    </w:p>
    <w:p w14:paraId="51050FC1" w14:textId="77777777" w:rsidR="000D0080" w:rsidRDefault="00000000">
      <w:pPr>
        <w:spacing w:after="160" w:line="276" w:lineRule="auto"/>
        <w:jc w:val="both"/>
      </w:pPr>
      <w:r>
        <w:t>El Capítulo 10 sintetiza las contribuciones del Proyecto APNEA en sus tres planos —científico, metodológico y clínico—, presenta las publicaciones asociadas al trabajo y articula las líneas de trabajo futuro. La discusión desarrollada en el presente capítulo constituye el marco interpretativo desde el cual esas conclusiones adquieren sentido: lo que el proyecto establece tiene valor en la medida en que puede situarse con precisión frente a lo que la literatura ya sabía y frente a lo que aún queda por demostrar.</w:t>
      </w:r>
    </w:p>
    <w:p w14:paraId="4A3A3727" w14:textId="77777777" w:rsidR="000D0080" w:rsidRDefault="00000000">
      <w:r>
        <w:br w:type="page"/>
      </w:r>
    </w:p>
    <w:p w14:paraId="3662BD6B" w14:textId="77777777" w:rsidR="000D0080" w:rsidRDefault="00000000">
      <w:pPr>
        <w:pStyle w:val="Ttulo1"/>
        <w:pBdr>
          <w:bottom w:val="single" w:sz="4" w:space="4" w:color="D0D8E4"/>
        </w:pBdr>
      </w:pPr>
      <w:r>
        <w:lastRenderedPageBreak/>
        <w:t>Referencias</w:t>
      </w:r>
    </w:p>
    <w:p w14:paraId="05097B14" w14:textId="77777777" w:rsidR="000D0080" w:rsidRDefault="00000000">
      <w:pPr>
        <w:spacing w:after="100"/>
        <w:ind w:left="720" w:hanging="720"/>
        <w:jc w:val="both"/>
      </w:pPr>
      <w:r>
        <w:rPr>
          <w:sz w:val="18"/>
          <w:szCs w:val="18"/>
        </w:rPr>
        <w:t>Azarbarzin, A., Sands, S. A., Stone, K. L., Taranto-Montemurro, L., Messineo, L., Terrill, P. I., … &amp; Wellman, A. (2019). The hypoxic burden of sleep apnoea predicts cardiovascular disease-related mortality: the Osteoporotic Fractures in Men Study and the Sleep Heart Health Study. European Heart Journal, 40(14), 1149–1157. https://doi.org/10.1093/eurheartj/ehy624</w:t>
      </w:r>
    </w:p>
    <w:p w14:paraId="57C37380" w14:textId="77777777" w:rsidR="000D0080" w:rsidRDefault="00000000">
      <w:pPr>
        <w:spacing w:after="100"/>
        <w:ind w:left="720" w:hanging="720"/>
        <w:jc w:val="both"/>
      </w:pPr>
      <w:r>
        <w:rPr>
          <w:sz w:val="18"/>
          <w:szCs w:val="18"/>
        </w:rPr>
        <w:t>Behar, J. A., Palmius, N., Li, Q., Garber, M., Nagaraj, S. B., &amp; Clifford, G. D. (2019). Feasibility of single channel oximetry for mass screening of obstructive sleep apnea. EClinicalMedicine, 11, 81–88. https://doi.org/10.1016/j.eclinm.2019.05.009</w:t>
      </w:r>
    </w:p>
    <w:p w14:paraId="0032C90D" w14:textId="77777777" w:rsidR="000D0080" w:rsidRDefault="00000000">
      <w:pPr>
        <w:spacing w:after="100"/>
        <w:ind w:left="720" w:hanging="720"/>
        <w:jc w:val="both"/>
      </w:pPr>
      <w:r>
        <w:rPr>
          <w:sz w:val="18"/>
          <w:szCs w:val="18"/>
        </w:rPr>
        <w:t>Berry, R. B., Budhiraja, R., Gottlieb, D. J., Gozal, D., Iber, C., Kapur, V. K., … &amp; Tangredi, M. M. (2012). Rules for scoring respiratory events in sleep: update of the 2007 AASM Manual for Scoring of Sleep. Journal of Clinical Sleep Medicine, 8(5), 597–619. https://doi.org/10.5664/jcsm.2172</w:t>
      </w:r>
    </w:p>
    <w:p w14:paraId="37579924" w14:textId="77777777" w:rsidR="000D0080" w:rsidRDefault="00000000">
      <w:pPr>
        <w:spacing w:after="100"/>
        <w:ind w:left="720" w:hanging="720"/>
        <w:jc w:val="both"/>
      </w:pPr>
      <w:r>
        <w:rPr>
          <w:sz w:val="18"/>
          <w:szCs w:val="18"/>
        </w:rPr>
        <w:t>Clifton, D. A., Clifton, L., Pimentel, M. A. F., Watkinson, P. J., &amp; Tarassenko, L. (2015). Predictive monitoring of mobile patients by combining clinical observations with data from wearable sensors. IEEE Journal of Biomedical and Health Informatics, 18(3), 722–730. https://doi.org/10.1109/JBHI.2013.2293059</w:t>
      </w:r>
    </w:p>
    <w:p w14:paraId="369AD45E" w14:textId="77777777" w:rsidR="000D0080" w:rsidRDefault="00000000">
      <w:pPr>
        <w:spacing w:after="100"/>
        <w:ind w:left="720" w:hanging="720"/>
        <w:jc w:val="both"/>
      </w:pPr>
      <w:r>
        <w:rPr>
          <w:sz w:val="18"/>
          <w:szCs w:val="18"/>
        </w:rPr>
        <w:t>Duran-Cantolla, J., Aizpuru, F., Montserrat, J. M., Ballester, E., Terán, J., Aguirregomoscorta, J. I., … &amp; Barbé, F. (2010). Continuous positive airway pressure as treatment for systemic hypertension in people with obstructive sleep apnoea: randomised controlled trial. BMJ, 341, c5991. https://doi.org/10.1136/bmj.c5991</w:t>
      </w:r>
    </w:p>
    <w:p w14:paraId="6CD1FDA7" w14:textId="77777777" w:rsidR="000D0080" w:rsidRDefault="00000000">
      <w:pPr>
        <w:spacing w:after="100"/>
        <w:ind w:left="720" w:hanging="720"/>
        <w:jc w:val="both"/>
      </w:pPr>
      <w:r>
        <w:rPr>
          <w:sz w:val="18"/>
          <w:szCs w:val="18"/>
        </w:rPr>
        <w:t>Eckert, D. J., White, D. P., Jordan, A. S., Malhotra, A., &amp; Wellman, A. (2013). Defining phenotypic causes of obstructive sleep apnea. Identification of novel therapeutic targets. American Journal of Respiratory and Critical Care Medicine, 188(8), 996–1004. https://doi.org/10.1164/rccm.201303-0448OC</w:t>
      </w:r>
    </w:p>
    <w:p w14:paraId="4EFCD1E6" w14:textId="77777777" w:rsidR="000D0080" w:rsidRDefault="00000000">
      <w:pPr>
        <w:spacing w:after="100"/>
        <w:ind w:left="720" w:hanging="720"/>
        <w:jc w:val="both"/>
      </w:pPr>
      <w:r>
        <w:rPr>
          <w:sz w:val="18"/>
          <w:szCs w:val="18"/>
        </w:rPr>
        <w:t>Goldberger, A. L., Amaral, L. A. N., Hausdorff, J. M., Ivanov, P. Ch., Peng, C.-K., &amp; Stanley, H. E. (2002). Fractal dynamics in physiology: alterations with disease and aging. Proceedings of the National Academy of Sciences, 99(Suppl 1), 2466–2472. https://doi.org/10.1073/pnas.012579499</w:t>
      </w:r>
    </w:p>
    <w:p w14:paraId="540D437D" w14:textId="77777777" w:rsidR="000D0080" w:rsidRDefault="00000000">
      <w:pPr>
        <w:spacing w:after="100"/>
        <w:ind w:left="720" w:hanging="720"/>
        <w:jc w:val="both"/>
      </w:pPr>
      <w:r>
        <w:rPr>
          <w:sz w:val="18"/>
          <w:szCs w:val="18"/>
        </w:rPr>
        <w:t>Inza, R., et al. (en preparación). Fenotipado morfológico y respuesta autonómica en eventos de desaturación nocturna: el Índice de Reactividad Autonómica (ARI). [T1]</w:t>
      </w:r>
    </w:p>
    <w:p w14:paraId="1BE2F192" w14:textId="77777777" w:rsidR="000D0080" w:rsidRDefault="00000000">
      <w:pPr>
        <w:spacing w:after="100"/>
        <w:ind w:left="720" w:hanging="720"/>
        <w:jc w:val="both"/>
      </w:pPr>
      <w:r>
        <w:rPr>
          <w:sz w:val="18"/>
          <w:szCs w:val="18"/>
        </w:rPr>
        <w:t>Inza, R., et al. (en preparación). Estados dinámicos multiescala de la fisiología nocturna en SAOS: el sistema PAC States. [T2]</w:t>
      </w:r>
    </w:p>
    <w:p w14:paraId="6C5A3BBD" w14:textId="77777777" w:rsidR="000D0080" w:rsidRDefault="00000000">
      <w:pPr>
        <w:spacing w:after="100"/>
        <w:ind w:left="720" w:hanging="720"/>
        <w:jc w:val="both"/>
      </w:pPr>
      <w:r>
        <w:rPr>
          <w:sz w:val="18"/>
          <w:szCs w:val="18"/>
        </w:rPr>
        <w:t>Inza, R., et al. (en preparación). Acoplamiento morfotipo–estado y modelado predictivo basado en representaciones PAC. [T3]</w:t>
      </w:r>
    </w:p>
    <w:p w14:paraId="5CB2A95C" w14:textId="77777777" w:rsidR="000D0080" w:rsidRDefault="00000000">
      <w:pPr>
        <w:spacing w:after="100"/>
        <w:ind w:left="720" w:hanging="720"/>
        <w:jc w:val="both"/>
      </w:pPr>
      <w:r>
        <w:rPr>
          <w:sz w:val="18"/>
          <w:szCs w:val="18"/>
        </w:rPr>
        <w:t>Inza, R., et al. (en preparación). Predicción prospectiva de eventos de desaturación severa con horizonte temporal clínico mediante representaciones PAC. [T4]</w:t>
      </w:r>
    </w:p>
    <w:p w14:paraId="4D18173F" w14:textId="77777777" w:rsidR="000D0080" w:rsidRDefault="00000000">
      <w:pPr>
        <w:spacing w:after="100"/>
        <w:ind w:left="720" w:hanging="720"/>
        <w:jc w:val="both"/>
      </w:pPr>
      <w:r>
        <w:rPr>
          <w:sz w:val="18"/>
          <w:szCs w:val="18"/>
        </w:rPr>
        <w:t>Ke, G., Meng, Q., Finley, T., Wang, T., Chen, W., Ma, W., Ye, Q., &amp; Liu, T.-Y. (2017). LightGBM: a highly efficient gradient boosting decision tree. Advances in Neural Information Processing Systems, 30, 3146–3154.</w:t>
      </w:r>
    </w:p>
    <w:p w14:paraId="3040AA26" w14:textId="77777777" w:rsidR="000D0080" w:rsidRDefault="00000000">
      <w:pPr>
        <w:spacing w:after="100"/>
        <w:ind w:left="720" w:hanging="720"/>
        <w:jc w:val="both"/>
      </w:pPr>
      <w:r>
        <w:rPr>
          <w:sz w:val="18"/>
          <w:szCs w:val="18"/>
        </w:rPr>
        <w:t>Lévy, P., Kohler, M., McNicholas, W. T., Barbé, F., McEvoy, R. D., Somers, V. K., … &amp; Pépin, J.-L. (2015). Obstructive sleep apnoea syndrome. Nature Reviews Disease Primers, 1, 15015. https://doi.org/10.1038/nrdp.2015.15</w:t>
      </w:r>
    </w:p>
    <w:p w14:paraId="3BCC3A9D" w14:textId="77777777" w:rsidR="000D0080" w:rsidRDefault="00000000">
      <w:pPr>
        <w:spacing w:after="100"/>
        <w:ind w:left="720" w:hanging="720"/>
        <w:jc w:val="both"/>
      </w:pPr>
      <w:r>
        <w:rPr>
          <w:sz w:val="18"/>
          <w:szCs w:val="18"/>
        </w:rPr>
        <w:t>Masa, J. F., Corral, J., Pereira, R., Duran-Cantolla, J., Cabello, M., Hernández-Blasco, L., … &amp; Montserrat, J. M. (2011). Effectiveness of home respiratory polygraphy for the diagnosis of sleep apnoea and hypopnoea syndrome. Thorax, 66(7), 567–573. https://doi.org/10.1136/thx.2010.152272</w:t>
      </w:r>
    </w:p>
    <w:p w14:paraId="24F16577" w14:textId="77777777" w:rsidR="000D0080" w:rsidRDefault="00000000">
      <w:pPr>
        <w:spacing w:after="100"/>
        <w:ind w:left="720" w:hanging="720"/>
        <w:jc w:val="both"/>
      </w:pPr>
      <w:r>
        <w:rPr>
          <w:sz w:val="18"/>
          <w:szCs w:val="18"/>
        </w:rPr>
        <w:t>Niculescu-Mizil, A., &amp; Caruana, R. (2005). Predicting good probabilities with supervised learning. Proceedings of the 22nd International Conference on Machine Learning (ICML), 625–632. https://doi.org/10.1145/1102351.1102430</w:t>
      </w:r>
    </w:p>
    <w:p w14:paraId="5BCE4432" w14:textId="77777777" w:rsidR="000D0080" w:rsidRDefault="00000000">
      <w:pPr>
        <w:spacing w:after="100"/>
        <w:ind w:left="720" w:hanging="720"/>
        <w:jc w:val="both"/>
      </w:pPr>
      <w:r>
        <w:rPr>
          <w:sz w:val="18"/>
          <w:szCs w:val="18"/>
        </w:rPr>
        <w:t>Patel, S. R., White, D. P., Malhotra, A., Stanchina, M., &amp; Ayas, N. T. (2019). Continuous positive airway pressure therapy for treating sleepiness in a diverse population with obstructive sleep apnea: results of a meta-analysis. Archives of Internal Medicine, 163(5), 565–571. https://doi.org/10.1001/archinte.163.5.565</w:t>
      </w:r>
    </w:p>
    <w:p w14:paraId="131B1453" w14:textId="77777777" w:rsidR="000D0080" w:rsidRDefault="00000000">
      <w:pPr>
        <w:spacing w:after="100"/>
        <w:ind w:left="720" w:hanging="720"/>
        <w:jc w:val="both"/>
      </w:pPr>
      <w:r>
        <w:rPr>
          <w:sz w:val="18"/>
          <w:szCs w:val="18"/>
        </w:rPr>
        <w:t>Penzel, T., Kantelhardt, J. W., Bartsch, R. P., Riedl, M., Kraemer, J. F., Wessel, N., … &amp; Schöbel, C. (2016). Modulations of heart rate, ECG, and cardio-respiratory coupling observed in polysomnography. Frontiers in Physiology, 7, 460. https://doi.org/10.3389/fphys.2016.00460</w:t>
      </w:r>
    </w:p>
    <w:p w14:paraId="10E765AF" w14:textId="77777777" w:rsidR="000D0080" w:rsidRDefault="00000000">
      <w:pPr>
        <w:spacing w:after="100"/>
        <w:ind w:left="720" w:hanging="720"/>
        <w:jc w:val="both"/>
      </w:pPr>
      <w:r>
        <w:rPr>
          <w:sz w:val="18"/>
          <w:szCs w:val="18"/>
        </w:rPr>
        <w:t>Saito, T., &amp; Rehmsmeier, M. (2015). The precision-recall plot is more informative than the ROC plot when evaluating binary classifiers on imbalanced datasets. PLOS ONE, 10(3), e0118432. https://doi.org/10.1371/journal.pone.0118432</w:t>
      </w:r>
    </w:p>
    <w:p w14:paraId="1834A086" w14:textId="77777777" w:rsidR="000D0080" w:rsidRDefault="00000000">
      <w:pPr>
        <w:spacing w:after="100"/>
        <w:ind w:left="720" w:hanging="720"/>
        <w:jc w:val="both"/>
      </w:pPr>
      <w:r>
        <w:rPr>
          <w:sz w:val="18"/>
          <w:szCs w:val="18"/>
        </w:rPr>
        <w:t>Sands, S. A., Terrill, P. I., Edwards, B. A., Taranto-Montemurro, L., Azarbarzin, A., Nguyen, A. T., … &amp; Wellman, A. (2021). Quantifying the arousal threshold using polysomnography in obstructive sleep apnea. Sleep, 41(1), zsx183. https://doi.org/10.1093/sleep/zsx183</w:t>
      </w:r>
    </w:p>
    <w:p w14:paraId="35FF0621" w14:textId="77777777" w:rsidR="000D0080" w:rsidRDefault="00000000">
      <w:pPr>
        <w:spacing w:after="100"/>
        <w:ind w:left="720" w:hanging="720"/>
        <w:jc w:val="both"/>
      </w:pPr>
      <w:r>
        <w:rPr>
          <w:sz w:val="18"/>
          <w:szCs w:val="18"/>
        </w:rPr>
        <w:lastRenderedPageBreak/>
        <w:t>Stradling, J. R., &amp; Davies, R. J. O. (2004). Sleep · 1: Obstructive sleep apnoea/hypopnoea syndrome: definitions, epidemiology, and natural history. Thorax, 59(1), 73–78. https://doi.org/10.1136/thorax.59.1.73</w:t>
      </w:r>
    </w:p>
    <w:p w14:paraId="139AE47A" w14:textId="77777777" w:rsidR="000D0080" w:rsidRDefault="00000000">
      <w:pPr>
        <w:spacing w:after="100"/>
        <w:ind w:left="720" w:hanging="720"/>
        <w:jc w:val="both"/>
      </w:pPr>
      <w:r>
        <w:rPr>
          <w:sz w:val="18"/>
          <w:szCs w:val="18"/>
        </w:rPr>
        <w:t>Wasserstein, R. L., &amp; Lazar, N. A. (2016). The ASA statement on p-values: context, process, and purpose. The American Statistician, 70(2), 129–133. https://doi.org/10.1080/00031305.2016.1154108</w:t>
      </w:r>
    </w:p>
    <w:p w14:paraId="383BD08C" w14:textId="77777777" w:rsidR="000D0080" w:rsidRDefault="00000000">
      <w:pPr>
        <w:spacing w:after="100"/>
        <w:ind w:left="720" w:hanging="720"/>
        <w:jc w:val="both"/>
      </w:pPr>
      <w:r>
        <w:rPr>
          <w:sz w:val="18"/>
          <w:szCs w:val="18"/>
        </w:rPr>
        <w:t>Wellman, A., Eckert, D. J., Jordan, A. S., Edwards, B. A., Passaglia, C. L., Jackson, A. C., … &amp; White, D. P. (2011). A method for measuring and modeling the physiological traits causing obstructive sleep apnea. Journal of Applied Physiology, 110(6), 1627–1637. https://doi.org/10.1152/japplphysiol.00972.2010</w:t>
      </w:r>
    </w:p>
    <w:sectPr w:rsidR="000D0080">
      <w:headerReference w:type="default" r:id="rId7"/>
      <w:footerReference w:type="default" r:id="rId8"/>
      <w:pgSz w:w="11906" w:h="16838"/>
      <w:pgMar w:top="1440" w:right="126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267C3" w14:textId="77777777" w:rsidR="000F64BF" w:rsidRDefault="000F64BF">
      <w:r>
        <w:separator/>
      </w:r>
    </w:p>
  </w:endnote>
  <w:endnote w:type="continuationSeparator" w:id="0">
    <w:p w14:paraId="52B03624" w14:textId="77777777" w:rsidR="000F64BF" w:rsidRDefault="000F64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38F18" w14:textId="77777777" w:rsidR="000D0080" w:rsidRDefault="00000000">
    <w:pPr>
      <w:pBdr>
        <w:top w:val="single" w:sz="4" w:space="4" w:color="D0D8E4"/>
      </w:pBdr>
      <w:tabs>
        <w:tab w:val="right" w:pos="9026"/>
      </w:tabs>
      <w:spacing w:before="60"/>
      <w:jc w:val="right"/>
    </w:pPr>
    <w:r>
      <w:rPr>
        <w:color w:val="6B7280"/>
        <w:sz w:val="16"/>
        <w:szCs w:val="16"/>
      </w:rPr>
      <w:t>Roberto Inza · Universidad Austral · 2026</w:t>
    </w:r>
    <w:r>
      <w:rPr>
        <w:color w:val="6B7280"/>
        <w:sz w:val="16"/>
        <w:szCs w:val="16"/>
      </w:rPr>
      <w:tab/>
    </w:r>
    <w:r>
      <w:rPr>
        <w:color w:val="6B7280"/>
        <w:sz w:val="16"/>
        <w:szCs w:val="16"/>
      </w:rPr>
      <w:fldChar w:fldCharType="begin"/>
    </w:r>
    <w:r>
      <w:rPr>
        <w:color w:val="6B7280"/>
        <w:sz w:val="16"/>
        <w:szCs w:val="16"/>
      </w:rPr>
      <w:instrText>PAGE</w:instrText>
    </w:r>
    <w:r>
      <w:rPr>
        <w:color w:val="6B7280"/>
        <w:sz w:val="16"/>
        <w:szCs w:val="16"/>
      </w:rPr>
      <w:fldChar w:fldCharType="separate"/>
    </w:r>
    <w:r w:rsidR="00881085">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F8D9BF" w14:textId="77777777" w:rsidR="000F64BF" w:rsidRDefault="000F64BF">
      <w:r>
        <w:separator/>
      </w:r>
    </w:p>
  </w:footnote>
  <w:footnote w:type="continuationSeparator" w:id="0">
    <w:p w14:paraId="653589F1" w14:textId="77777777" w:rsidR="000F64BF" w:rsidRDefault="000F64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E8370" w14:textId="77777777" w:rsidR="000D0080" w:rsidRDefault="00000000">
    <w:pPr>
      <w:pBdr>
        <w:bottom w:val="single" w:sz="4" w:space="4" w:color="D0D8E4"/>
      </w:pBdr>
      <w:tabs>
        <w:tab w:val="right" w:pos="9026"/>
      </w:tabs>
      <w:spacing w:after="60"/>
    </w:pPr>
    <w:r>
      <w:rPr>
        <w:color w:val="6B7280"/>
        <w:sz w:val="16"/>
        <w:szCs w:val="16"/>
      </w:rPr>
      <w:t>Proyecto APNEA · Tesis de Maestría</w:t>
    </w:r>
    <w:r>
      <w:rPr>
        <w:sz w:val="16"/>
        <w:szCs w:val="16"/>
      </w:rPr>
      <w:tab/>
    </w:r>
    <w:r>
      <w:rPr>
        <w:i/>
        <w:iCs/>
        <w:color w:val="6B7280"/>
        <w:sz w:val="16"/>
        <w:szCs w:val="16"/>
      </w:rPr>
      <w:t>Capítulo 9 — Discusión  (v2)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B0361"/>
    <w:multiLevelType w:val="hybridMultilevel"/>
    <w:tmpl w:val="C142A778"/>
    <w:lvl w:ilvl="0" w:tplc="101EC168">
      <w:start w:val="1"/>
      <w:numFmt w:val="bullet"/>
      <w:lvlText w:val="●"/>
      <w:lvlJc w:val="left"/>
      <w:pPr>
        <w:ind w:left="720" w:hanging="360"/>
      </w:pPr>
    </w:lvl>
    <w:lvl w:ilvl="1" w:tplc="2C38DF7E">
      <w:start w:val="1"/>
      <w:numFmt w:val="bullet"/>
      <w:lvlText w:val="○"/>
      <w:lvlJc w:val="left"/>
      <w:pPr>
        <w:ind w:left="1440" w:hanging="360"/>
      </w:pPr>
    </w:lvl>
    <w:lvl w:ilvl="2" w:tplc="8D4051D0">
      <w:start w:val="1"/>
      <w:numFmt w:val="bullet"/>
      <w:lvlText w:val="■"/>
      <w:lvlJc w:val="left"/>
      <w:pPr>
        <w:ind w:left="2160" w:hanging="360"/>
      </w:pPr>
    </w:lvl>
    <w:lvl w:ilvl="3" w:tplc="18FE158C">
      <w:start w:val="1"/>
      <w:numFmt w:val="bullet"/>
      <w:lvlText w:val="●"/>
      <w:lvlJc w:val="left"/>
      <w:pPr>
        <w:ind w:left="2880" w:hanging="360"/>
      </w:pPr>
    </w:lvl>
    <w:lvl w:ilvl="4" w:tplc="EC96C98C">
      <w:start w:val="1"/>
      <w:numFmt w:val="bullet"/>
      <w:lvlText w:val="○"/>
      <w:lvlJc w:val="left"/>
      <w:pPr>
        <w:ind w:left="3600" w:hanging="360"/>
      </w:pPr>
    </w:lvl>
    <w:lvl w:ilvl="5" w:tplc="A58EDEB8">
      <w:start w:val="1"/>
      <w:numFmt w:val="bullet"/>
      <w:lvlText w:val="■"/>
      <w:lvlJc w:val="left"/>
      <w:pPr>
        <w:ind w:left="4320" w:hanging="360"/>
      </w:pPr>
    </w:lvl>
    <w:lvl w:ilvl="6" w:tplc="F350D914">
      <w:start w:val="1"/>
      <w:numFmt w:val="bullet"/>
      <w:lvlText w:val="●"/>
      <w:lvlJc w:val="left"/>
      <w:pPr>
        <w:ind w:left="5040" w:hanging="360"/>
      </w:pPr>
    </w:lvl>
    <w:lvl w:ilvl="7" w:tplc="78C81468">
      <w:start w:val="1"/>
      <w:numFmt w:val="bullet"/>
      <w:lvlText w:val="●"/>
      <w:lvlJc w:val="left"/>
      <w:pPr>
        <w:ind w:left="5760" w:hanging="360"/>
      </w:pPr>
    </w:lvl>
    <w:lvl w:ilvl="8" w:tplc="52FA9860">
      <w:start w:val="1"/>
      <w:numFmt w:val="bullet"/>
      <w:lvlText w:val="●"/>
      <w:lvlJc w:val="left"/>
      <w:pPr>
        <w:ind w:left="6480" w:hanging="360"/>
      </w:pPr>
    </w:lvl>
  </w:abstractNum>
  <w:num w:numId="1" w16cid:durableId="21371380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0080"/>
    <w:rsid w:val="000B4FE3"/>
    <w:rsid w:val="000D0080"/>
    <w:rsid w:val="000F64BF"/>
    <w:rsid w:val="0088108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347AA5AE"/>
  <w15:docId w15:val="{0A9BA9C1-4D06-0543-9C92-5CDEC8951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1E3A5F"/>
      <w:sz w:val="28"/>
      <w:szCs w:val="28"/>
    </w:rPr>
  </w:style>
  <w:style w:type="paragraph" w:styleId="Ttulo2">
    <w:name w:val="heading 2"/>
    <w:uiPriority w:val="9"/>
    <w:unhideWhenUsed/>
    <w:qFormat/>
    <w:pPr>
      <w:spacing w:before="240" w:after="120"/>
      <w:outlineLvl w:val="1"/>
    </w:pPr>
    <w:rPr>
      <w:b/>
      <w:bCs/>
      <w:color w:val="1E3A5F"/>
      <w:sz w:val="24"/>
      <w:szCs w:val="24"/>
    </w:rPr>
  </w:style>
  <w:style w:type="paragraph" w:styleId="Ttulo3">
    <w:name w:val="heading 3"/>
    <w:uiPriority w:val="9"/>
    <w:semiHidden/>
    <w:unhideWhenUsed/>
    <w:qFormat/>
    <w:pPr>
      <w:spacing w:before="180" w:after="80"/>
      <w:outlineLvl w:val="2"/>
    </w:pPr>
    <w:rPr>
      <w:b/>
      <w:bCs/>
      <w:color w:val="1E3A5F"/>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14</Pages>
  <Words>6778</Words>
  <Characters>38705</Characters>
  <Application>Microsoft Office Word</Application>
  <DocSecurity>0</DocSecurity>
  <Lines>569</Lines>
  <Paragraphs>124</Paragraphs>
  <ScaleCrop>false</ScaleCrop>
  <Company/>
  <LinksUpToDate>false</LinksUpToDate>
  <CharactersWithSpaces>45359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cp:revision>
  <dcterms:created xsi:type="dcterms:W3CDTF">2026-05-28T13:34:00Z</dcterms:created>
  <dcterms:modified xsi:type="dcterms:W3CDTF">2026-05-28T13:44:00Z</dcterms:modified>
</cp:coreProperties>
</file>