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3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a partir de un único sensor portátil domiciliario es, simultáneamente, un problema de representación y un problema de escala. Un problema de representación porque, de entre los millones de muestras de SpO₂, FC y movimiento que registra el SOMNI 6000 a lo largo de decenas de noches, es necesario extraer información compacta, interpretable y clínicamente útil sin perder la estructura que distingue a un paciente de otro y a una noche de otra. Un problema de escala porque esas representaciones deben ser válidas sobre una cohorte con alta variabilidad intraindividual, sin polisomnografía de referencia y sin el volumen de datos que la estadística clásica presupone. El Proyecto APNEA construye una respuesta articulada en cinco niveles: la caracterización morfológica de cada evento de desaturación (EDO), la representación dinámica de la noche como sistema de estados multiescala, el acoplamiento entre ambos niveles, el fenotipado predictivo de eventos y noches mediante aprendizaje automático, y la predicción prospectiva con horizonte terapéutico. Las secciones que siguen examinan cada nivel frente a la literatura: contrastan hallazgos con los trabajos más cercanos y señalan —sin atribuir precedentes que no existen— cuando una contribución carece de referencia directa publicada.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Cada evento tiene propiedades elementales —profundidad de la caída de SpO₂, duración, perfil temporal de recuperación,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como muestra el Cap04, tiene consecuencias diagnósticas concretas.</w:t>
      </w:r>
    </w:p>
    <w:p>
      <w:pPr>
        <w:spacing w:after="160" w:line="276"/>
        <w:jc w:val="both"/>
      </w:pPr>
      <w:r>
        <w:rPr>
          <w:rFonts w:ascii="Arial" w:cs="Arial" w:eastAsia="Arial" w:hAnsi="Arial"/>
        </w:rPr>
        <w:t xml:space="preserve">La distinción entre índices de evento e índices agregados nocturnos no es abstracta: en el Cap03 se operacionaliza directamente en el diseño del pipeline. La capa Events caracteriza cada EDO de forma individual con 25+ features morfológicas, el ARI y la posición temporal dentro de la noche. La capa Gold consolida esas caracterizaciones en tablas nocturnas y por paciente. Esta arquitectura dual —evento y noche como niveles de análisis simultáneos y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Apnea–Hypopnea Index (AHI) es el índice de referencia clínica del SAOS: número de apneas e hipopneas por hora de sueño, calculado sobre señales de flujo oronasal, esfuerzo respiratorio y SpO₂ en PSG completa (Berry et al., 2012). Los umbrales AASM —leve: 5 ≤ AHI &lt; 15; moderado: 15 ≤ AHI &lt; 30; severo: AHI ≥ 30— definen el diagnóstico y orientan la terapia.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ODI3 (Oxygen Desaturation Index, umbral ≥ 3 pp) es su subrogante más utilizado en dispositivos domiciliarios: cuenta las desaturaciones de SpO₂ por hora sin requerir PSG ni técnico especializado. Su concordancia con el AHI es alta en el rango moderado-severo —correlaciones ρ &gt; 0,85 en estudios de validación frente a PSG (Masa et al., 2011; Duran-Cantolla et al., 2010)—, rango en el que se concentra la cohorte PAC_v2. Es importante destacar que esta concordancia implica también una limitación compartida: ambos son índices de frecuencia que cuentan eventos pero no caracterizan su forma, profundidad integrada ni respuesta autonómica. El pipeline PAC_v3 usa el ODI3 como índice de severidad nocturna de referencia, con el reconocimiento explícito de que opera como proxy del AHI en ausencia de PSG (Cap03 §3.2.1). Para la detección interna de EDOs el pipeline adopta un umbral más permisivo de ≥ 2 pp: esta elección deliberada maximiza la sensibilidad de detección y el tamaño del corpus analítico, con el costo de incluir eventos que el criterio clínico del ODI3 no contabilizaría. El ODI3 y el ODI4 se calculan como subconjuntos del corpus de 85.277 EDOs para la validación comparativa, no como umbral de detección.</w:t>
      </w:r>
    </w:p>
    <w:p>
      <w:pPr>
        <w:spacing w:after="160" w:line="276"/>
        <w:jc w:val="both"/>
      </w:pPr>
      <w:r>
        <w:rPr>
          <w:rFonts w:ascii="Arial" w:cs="Arial" w:eastAsia="Arial" w:hAnsi="Arial"/>
        </w:rPr>
        <w:t xml:space="preserve">Que un mismo umbral de ≥ 3 pp sea al mismo tiempo criterio diagnóstico clínico estándar y criterio de agrupamiento analítico en un pipeline orientado a la morfología del evento plantea una tensión metodológica relevante. Un evento que cae apenas 2,5 pp puede tener morfología, duración y respuesta autonómica comparables a uno de 3,2 pp; clasificarlo como "no evento" por razones de convención clínica implica perder información morfológica potencialmente informativa. La decisión de adoptar ≥ 2 pp como umbral de detección —y reservar el ODI3 para la estratificación de severidad nocturna— es una de las elecciones de diseño que singularizan al pipeline PAC_v3 frente a los sistemas convencionales de análisis de oximetría.</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definida como el área bajo la curva de SpO₂ durante los eventos respiratorios, representan los intentos más exitosos de capturar la dimensión temporal e integrada de la hipoxemia que AHI y ODI3 omiten.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(loop gain), umbral de arousal, respuesta muscular de la vía aérea superior y compensación postural—, cada uno variable independientemente del AHI. T90 y carga hipóxica son calculables desde oximetría domiciliaria y forman parte del quinteto de validación del pipeline PAC_v3 (Cap03 §3.3.4).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(Cap04) captura la forma de la curva SpO₂ —información que está presente en la señal pero que ningún índice convencional preserva. La baseline móvil de 120 s adoptada en la detección de EDOs (Cap03 §3.3.4)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A nivel de noche: los estados PAC multiescala (Cap05)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Lo que el pipeline PAC_v3 añade —y que no tiene equivalente publicado en la literatura revisada— es preservar y explotar la estructura morfológica y dinámica que esos índices descartan.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de SpO₂ no tiene precedente directo en la literatura a la escala que el Proyecto APNEA propone. Los trabajos más cercanos operan sobre índices agregados por noche (T90, ODI) o sobre características univariadas de los eventos (duración, profundidad), pero no sobre la forma completa de la curva normalizada como objeto de clustering. El enfoque adoptado en el Cap04 —PCA sobre 30 puntos de curva normalizados seguido de K-means con K = 5— es metodológicamente análogo a las técnicas de fenotipado morfológico en señales de ECG (Clifton et al., 2015) y en curvas de flujo respiratorio de PSG, pero aplicado a una escala de corpus (84.248 eventos) que excede la de cualquier estudio previo en oximetría nocturna portátil.</w:t>
      </w:r>
    </w:p>
    <w:p>
      <w:pPr>
        <w:spacing w:after="160" w:line="276"/>
        <w:jc w:val="both"/>
      </w:pPr>
      <w:r>
        <w:rPr>
          <w:rFonts w:ascii="Arial" w:cs="Arial" w:eastAsia="Arial" w:hAnsi="Arial"/>
        </w:rPr>
        <w:t xml:space="preserve">Los cinco morfotipos C1–C5 emergen con una estructura interpretable: el eje de la primera componente principal (PC1 = 62,9 % de la varianza explicada) captura fundamentalmente la profundidad de la caída de SpO₂, y el gradiente C1 → C5 representa un espectro de severidad creciente. Los morfotipos C4 y C5 —que concentran el 6,1 % de los eventos pero la fracción más alta de carga hipóxica por evento— corresponden a lo que la literatura clínica denomina apneas obstructivas prolongadas con desaturación severa. La consistencia del morfotipo dentro de un mismo paciente a lo largo de las noches (ICC inter-noche moderado) sugiere que los morfotipos capturan un rasgo relativamente estable de la fisiopatología individual, no un artefacto de la variabilidad nocturna. Este resultado es coherente con la observación de Eckert et al. (2013) de que los pacientes con SAOS difieren en sus mecanismos fisiopatológicos dominantes de forma relativamente consistente entre noches y sesiones.</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Cap04.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consistente con la literatura sobre atenuación de la respuesta simpática en hipoxemia intermitente crónica (Patel et al., 2019), aunque la relación causal no puede establecerse con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Este nivel de estabilidad —comparable al del ODI3, que la literatura establece requiere aproximadamente 7 noches para estimaciones confiables (Masa et al., 2011)— posiciona al ARI como candidato para su integración en protocolos de caracterización domiciliaria de corto plazo.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La elección del número de estados por escala —K = 7 para escala S, K = 5 para M, K = 4 para L— fue guiada por criterios de silhouette y estabilidad entre inicializaciones, no por analogía con la taxonomía de estadios del sueño de la AASM. El resultado es que los estados PAC no se mapean directamente a los estadios clásicos (N1, N2, N3, REM), pero sí correlacionan con índices de severidad de manera diferencial: S4 con ODI3 (ρ = +0,690), M1 con T90 (ρ = +0,744), L0 con T90 (ρ = +0,705). Esta especialización funcional sugiere que los estados PAC capturan dimensiones de la fisiología nocturna que los estadios del sueño convencionales no sintetizan, porque los estadios AASM fueron definidos con criterios de actividad cortical, no de severidad hipóxica o reactividad autonómica.</w:t>
      </w:r>
    </w:p>
    <w:p>
      <w:pPr>
        <w:pStyle w:val="Heading2"/>
        <w:spacing w:after="120" w:before="240"/>
      </w:pPr>
      <w:r>
        <w:rPr>
          <w:rFonts w:ascii="Arial" w:cs="Arial" w:eastAsia="Arial" w:hAnsi="Arial"/>
          <w:b/>
          <w:bCs/>
          <w:color w:val="1E3A5F"/>
          <w:sz w:val="24"/>
          <w:szCs w:val="24"/>
        </w:rPr>
        <w:t xml:space="preserve">9.3.2  Especialización funcional: el hallazgo central del Cap05</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Cap05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24 features PAC (21 fracciones de estados más 3 entropías de transición) captura esa estructura de manera compacta, sin requerir anotación manual de eventos ni clasificación de estadios de sueño.</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APNEA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análisis de trayectorias nocturnas (K = 3, Cap06 §6.7) materializa esta perspectiva: los tres fenotipos de trayectoria (Estable-Protector, Carga Intermedia, Carga Hipóxica Alta) no describen pacientes distintos sino noches distintas de los mismos pacientes. El hallazgo de que el fenotipo de Carga Hipóxica Alta (CHA) aparece con frecuencia en pacientes clasificados como SAOS moderado según su ODI3 nocturno medio es particularmente relevante: implica que algunos pacientes moderados tienen noches puntualmente severas que el promedio enmascara, y que esas noches podrían ser identificadas prospectivamente mediante las representaciones PAC antes de que se consolide la carga hipóxica acumulada.</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El acoplamiento entre el estado fisiológico activo y la morfología del evento que ocurre en él es el concepto articulador del Cap06.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La respuesta es afirmativa en las tres escalas: V de Cramér = 0,356 (escala S), 0,231 (M) y 0,196 (L). Los estados de mayor concentración de morfotipos C4+C5 son S2, S4 y S6 en la escala S; M1 y M3 en la M; y L0 y L1 en la L. Las tasas de riesgo relativo (RR) son clínicamente interpretables: un evento que ocurre en estado S6 tiene 4,9 veces más probabilidad de ser C4 o C5 que uno que ocurre en un estado protector. Esta estructura implica que el contexto dinámico de la noche —el estado PAC activo en el momento del evento— es informativo sobre la severidad probable del evento que está ocurriendo, incluso antes de observar la forma completa de la curva.</w:t>
      </w:r>
    </w:p>
    <w:p>
      <w:pPr>
        <w:spacing w:after="160" w:line="276"/>
        <w:jc w:val="both"/>
      </w:pPr>
      <w:r>
        <w:rPr>
          <w:rFonts w:ascii="Arial" w:cs="Arial" w:eastAsia="Arial" w:hAnsi="Arial"/>
        </w:rPr>
        <w:t xml:space="preserve">La relación entre acoplamiento y resiliencia post-evento —la probabilidad de que el estado permanezca igual tras un evento severo— añade una dimensión temporal relevante: la inercia del estado es creciente con la escala (S = 43,3 %, M = 12,3 %, L = 1,3 %). Esto implica que los estados de mayor riesgo en la escala S son más efímeros —el sistema puede salir de ellos con relativa rapidez— mientras que los estados de riesgo en la escala L son más persistentes: una vez que la arquitectura global de la noche adopta un patrón L0 (hipoxemia sostenida), el sistema tiende a permanecer en ese régimen durante períodos prolongados. Esta inercia creciente con la escala es el fundamento fisiológico de la predicción prospectiva con horizonte de 5–15 min implementada en el Cap08.</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del Cap06 y Cap08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Los análisis del Cap06 y Cap08 representan dos preguntas analíticamente distintas. El Cap06 pregunta: dado que un evento está ocurriendo ahora, ¿cuál es su morfotipo probable y el riesgo nocturno acumulado? el Cap08 pregunta: dado el estado fisiológico ahora, ¿habrá un evento severo en los próximos H minutos? La distinción no es solo técnica: implica que el Cap08 opera sin señal de evento en curso, lo que lo hace más difícil (AUC 8 puntos menor que el obtenido en Cap06) pero también más útil clínicamente, porque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Cap08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 noche →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Un resultado interpretativo relevante del Cap08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en el Cap08 es sorprendentemente plano a lo largo de los deciles de la noche, lo que sugiere que window_position opera más como covariable de contexto que como predictor de un pico temporal sistemático.</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en el Cap06: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concepto de condición algorítmica mínima para la intervención adaptativa es central a la interpretación del Cap08. El análisis no demuestra que el estimulador transcutáneo del 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de desarrollo de dispositivos médicos adaptativos, donde la validación analítica precede a la validación clínica (FDA, 2019). La cadena de evidencia propuesta por el Proyecto APNEA sigue esta lógica: Cap04–06 establecen que las representaciones PAC contienen información diagnóstica de valor clínico; Cap08 establece que esa información transporta contenido predictivo prospectivo;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pPr>
        <w:spacing w:after="160" w:line="276"/>
        <w:jc w:val="both"/>
      </w:pPr>
      <w:r>
        <w:rPr>
          <w:rFonts w:ascii="Arial" w:cs="Arial" w:eastAsia="Arial" w:hAnsi="Arial"/>
        </w:rPr>
        <w:t xml:space="preserve">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ρ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complejidad comparable a las derivadas de estudios completos para las dimensiones que PAC aborda. Esta afirmación es evaluable empíricamente: comparar los morfotipos C1–C5 y los estados PAC obtenidos sobre la cohorte PAC_v2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El Proyecto APNEA establece, sobre una cohorte de 12 pacientes (8 en los módulos supervisados) y 553 noches de calidad, las siguientes proposiciones analíticas: (a) los eventos de desaturación de oxígeno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pPr>
        <w:spacing w:after="160" w:line="276"/>
        <w:jc w:val="both"/>
      </w:pPr>
      <w:r>
        <w:rPr>
          <w:rFonts w:ascii="Arial" w:cs="Arial" w:eastAsia="Arial" w:hAnsi="Arial"/>
        </w:rPr>
        <w:t xml:space="preserve">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resultado que más claramente condiciona la traslación clínica del Cap08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pPr>
        <w:spacing w:after="160" w:line="276"/>
        <w:jc w:val="both"/>
      </w:pPr>
      <w:r>
        <w:rPr>
          <w:rFonts w:ascii="Arial" w:cs="Arial" w:eastAsia="Arial" w:hAnsi="Arial"/>
        </w:rPr>
        <w:t xml:space="preserve">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pPr>
        <w:spacing w:after="160" w:line="276"/>
        <w:jc w:val="both"/>
      </w:pPr>
      <w:r>
        <w:rPr>
          <w:rFonts w:ascii="Arial" w:cs="Arial" w:eastAsia="Arial" w:hAnsi="Arial"/>
        </w:rPr>
        <w:t xml:space="preserve">La solución metodológica correcta requiere una de dos estrategias: (a) validación en una cohorte externa independiente, con morphotipos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PAC_v2. Esta cohorte externa es el trabajo futuro de mayor prioridad metodológica para las publicaciones T2, T3 y T4 proyectadas.</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APNEA han sido discutidas en cada capítulo de resultados; el presente capítulo las articula como un conjunto coherente para identificar su impacto combinado sobre la interpretación de las contribuciones.</w:t>
      </w:r>
    </w:p>
    <w:p>
      <w:pPr>
        <w:spacing w:after="160" w:line="276"/>
        <w:jc w:val="both"/>
      </w:pPr>
      <w:r>
        <w:rPr>
          <w:rFonts w:ascii="Arial" w:cs="Arial" w:eastAsia="Arial" w:hAnsi="Arial"/>
          <w:b/>
          <w:bCs/>
        </w:rPr>
        <w:t xml:space="preserve">Tamaño muestral. </w:t>
      </w:r>
      <w:r>
        <w:rPr>
          <w:rFonts w:ascii="Arial" w:cs="Arial" w:eastAsia="Arial" w:hAnsi="Arial"/>
        </w:rPr>
        <w:t xml:space="preserve">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los modelos del Cap06 y Cap08)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La cohorte PAC_v2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de del Cap06 y Cap08 producen probabilidades pobremente calibradas en términos absolutos —sobreestimación de ~4× para el modelo del Cap08—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APNEA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(Cap08), y el fenotipo de trayectoria nocturna predice el riesgo de noche de alta carga hipóxica (Cap06 §6.11).</w:t>
      </w:r>
    </w:p>
    <w:p>
      <w:pPr>
        <w:spacing w:after="160" w:line="276"/>
        <w:jc w:val="both"/>
      </w:pPr>
      <w:r>
        <w:rPr>
          <w:rFonts w:ascii="Arial" w:cs="Arial" w:eastAsia="Arial" w:hAnsi="Arial"/>
        </w:rPr>
        <w:t xml:space="preserve">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~146 features por noche), interpretables (cada feature tiene un correlato fisiológico) y predictivamente útiles (los modelos que las utilizan superan de forma consistente a los baselines).</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pPr>
        <w:spacing w:after="100" w:before="280"/>
      </w:pPr>
      <w:r>
        <w:rPr>
          <w:rFonts w:ascii="Arial" w:cs="Arial" w:eastAsia="Arial" w:hAnsi="Arial"/>
          <w:b/>
          <w:bCs/>
          <w:color w:val="1E3A5F"/>
        </w:rPr>
        <w:t xml:space="preserve">Bridge al Capítulo 10 — Conclusiones</w:t>
      </w:r>
    </w:p>
    <w:p>
      <w:pPr>
        <w:spacing w:after="160" w:line="276"/>
        <w:jc w:val="both"/>
      </w:pPr>
      <w:r>
        <w:rPr>
          <w:rFonts w:ascii="Arial" w:cs="Arial" w:eastAsia="Arial" w:hAnsi="Arial"/>
        </w:rPr>
        <w:t xml:space="preserve">El Capítulo 10 sintetiza las contribuciones del Proyecto APNEA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Patel, S. R., White, D. P., Malhotra, A., Stanchina, M., &amp; Ayas, N. T. (2019). Continuous positive airway pressure therapy for treating sleepiness in a diverse population with obstructive sleep apnea: results of a meta-analysis. Archives of Internal Medicine, 163(5), 565–571. https://doi.org/10.1001/archinte.163.5.565</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APNEA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2026-05-28T13:44:48.074Z</dcterms:created>
  <dcterms:modified xsi:type="dcterms:W3CDTF">2026-05-28T13:44:48.074Z</dcterms:modified>
</cp:coreProperties>
</file>

<file path=docProps/custom.xml><?xml version="1.0" encoding="utf-8"?>
<Properties xmlns="http://schemas.openxmlformats.org/officeDocument/2006/custom-properties" xmlns:vt="http://schemas.openxmlformats.org/officeDocument/2006/docPropsVTypes"/>
</file>