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D2B45" w14:textId="77777777" w:rsidR="008174FE" w:rsidRDefault="00000000">
      <w:pPr>
        <w:spacing w:after="80"/>
      </w:pPr>
      <w:r>
        <w:rPr>
          <w:b/>
          <w:bCs/>
          <w:color w:val="6B7280"/>
          <w:sz w:val="20"/>
          <w:szCs w:val="20"/>
        </w:rPr>
        <w:t>CAPÍTULO 9</w:t>
      </w:r>
    </w:p>
    <w:p w14:paraId="5751F059" w14:textId="77777777" w:rsidR="008174FE" w:rsidRDefault="00000000">
      <w:pPr>
        <w:spacing w:after="120"/>
      </w:pPr>
      <w:r>
        <w:rPr>
          <w:b/>
          <w:bCs/>
          <w:color w:val="1E3A5F"/>
          <w:sz w:val="36"/>
          <w:szCs w:val="36"/>
        </w:rPr>
        <w:t>Discusión</w:t>
      </w:r>
    </w:p>
    <w:p w14:paraId="7D7E70F4" w14:textId="77777777" w:rsidR="008174FE" w:rsidRDefault="00000000">
      <w:pPr>
        <w:pBdr>
          <w:bottom w:val="single" w:sz="4" w:space="8" w:color="D0D8E4"/>
        </w:pBdr>
        <w:spacing w:after="400"/>
      </w:pPr>
      <w:r>
        <w:rPr>
          <w:color w:val="6B7280"/>
          <w:sz w:val="18"/>
          <w:szCs w:val="18"/>
        </w:rPr>
        <w:t>Versión 4  ·  Mayo 2026</w:t>
      </w:r>
    </w:p>
    <w:p w14:paraId="76C02CAF" w14:textId="77777777" w:rsidR="008174FE" w:rsidRDefault="008174FE">
      <w:pPr>
        <w:spacing w:after="160"/>
      </w:pPr>
    </w:p>
    <w:p w14:paraId="457F32EE" w14:textId="1A0F521F" w:rsidR="008174FE" w:rsidRDefault="00000000">
      <w:pPr>
        <w:spacing w:after="160" w:line="276" w:lineRule="auto"/>
        <w:jc w:val="both"/>
      </w:pPr>
      <w:r>
        <w:t xml:space="preserve">Analizar la fisiología nocturna del síndrome de apneas obstructivas del sueño (SAOS) a partir de un único sensor portátil domiciliario es, simultáneamente, un problema de representación y un problema de escala. Un problema de representación porque, de entre los millones de muestras de SpO₂, FC y movimiento que registra el SOMNI 6000 a lo largo de decenas de noches, es necesario extraer información compacta, interpretable y clínicamente útil sin perder la estructura que distingue a un paciente de otro y a una noche de otra. Un problema de escala porque esas representaciones deben ser válidas sobre una cohorte con alta variabilidad intraindividual, sin polisomnografía de referencia y sin el volumen de datos que la estadística clásica presupone. El Proyecto </w:t>
      </w:r>
      <w:r w:rsidR="008210A3">
        <w:t>PAC</w:t>
      </w:r>
      <w:r>
        <w:t xml:space="preserve"> construye una respuesta articulada en cinco niveles: la caracterización morfológica de cada evento de desaturación (EDO), la representación dinámica de la noche como sistema de estados multiescala, el acoplamiento entre ambos niveles, el fenotipado predictivo de eventos y noches mediante aprendizaje automático, y la predicción prospectiva con horizonte terapéutico. Las secciones que siguen examinan cada nivel frente a la literatura: contrastan hallazgos con los trabajos más cercanos y señalan —sin atribuir precedentes que no existen— cuando una contribución carece de referencia directa publicada.</w:t>
      </w:r>
    </w:p>
    <w:p w14:paraId="3BD1A9F4" w14:textId="77777777" w:rsidR="008174FE" w:rsidRDefault="00000000">
      <w:pPr>
        <w:pStyle w:val="Ttulo1"/>
        <w:pBdr>
          <w:bottom w:val="single" w:sz="4" w:space="4" w:color="D0D8E4"/>
        </w:pBdr>
      </w:pPr>
      <w:r>
        <w:t>9.1  Índices de evento e índices agregados nocturnos: el problema de la reducción escalar en el SAOS</w:t>
      </w:r>
    </w:p>
    <w:p w14:paraId="7571D924" w14:textId="77777777" w:rsidR="008174FE" w:rsidRDefault="00000000">
      <w:pPr>
        <w:spacing w:after="160" w:line="276" w:lineRule="auto"/>
        <w:jc w:val="both"/>
      </w:pPr>
      <w:r>
        <w:t>El SAOS se manifiesta durante el sueño como una sucesión de eventos respiratorios individuales: apneas, hipopneas, desaturaciones. Cada evento tiene propiedades elementales —profundidad de la caída de SpO₂, duración, perfil temporal de recuperación,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como muestra el Cap04, tiene consecuencias diagnósticas concretas.</w:t>
      </w:r>
    </w:p>
    <w:p w14:paraId="2BA442AD" w14:textId="77777777" w:rsidR="008174FE" w:rsidRDefault="00000000">
      <w:pPr>
        <w:spacing w:after="160" w:line="276" w:lineRule="auto"/>
        <w:jc w:val="both"/>
      </w:pPr>
      <w:r>
        <w:t>La distinción entre índices de evento e índices agregados nocturnos no es abstracta: en el Cap03 se operacionaliza directamente en el diseño del pipeline. La capa Events caracteriza cada EDO de forma individual con 25+ features morfológicas, el ARI y la posición temporal dentro de la noche. La capa Gold consolida esas caracterizaciones en tablas nocturnas y por paciente. Esta arquitectura dual —evento y noche como niveles de análisis simultáneos y complementarios— no es la norma en los sistemas de monitoreo domiciliario, donde habitualmente solo se reportan índices nocturnos agregados, y constituye una de las decisiones de diseño más relevantes del proyecto.</w:t>
      </w:r>
    </w:p>
    <w:p w14:paraId="579E9F6B" w14:textId="77777777" w:rsidR="008174FE" w:rsidRDefault="00000000">
      <w:pPr>
        <w:pStyle w:val="Ttulo2"/>
      </w:pPr>
      <w:r>
        <w:t>9.1.1  El AHI y el ODI3: estándar clínico y subrogante oxiométrico</w:t>
      </w:r>
    </w:p>
    <w:p w14:paraId="7B56AB07" w14:textId="77777777" w:rsidR="008174FE" w:rsidRDefault="00000000">
      <w:pPr>
        <w:spacing w:after="160" w:line="276" w:lineRule="auto"/>
        <w:jc w:val="both"/>
      </w:pPr>
      <w:r>
        <w:lastRenderedPageBreak/>
        <w:t>El Apnea–Hypopnea Index (AHI) es el índice de referencia clínica del SAOS: número de apneas e hipopneas por hora de sueño, calculado sobre señales de flujo oronasal, esfuerzo respiratorio y SpO₂ en PSG completa (Berry et al., 2012). Los umbrales AASM —leve: 5 ≤ AHI &lt; 15; moderado: 15 ≤ AHI &lt; 30; severo: AHI ≥ 30— definen el diagnóstico y orientan la terapia. Su respaldo como predictor de riesgo cardiovascular en cohortes epidemiológicas de largo plazo (Lévy et al., 2015) explica su permanencia como estándar pese a sus limitaciones reconocidas.</w:t>
      </w:r>
    </w:p>
    <w:p w14:paraId="46EC1F9B" w14:textId="77777777" w:rsidR="008174FE" w:rsidRDefault="00000000">
      <w:pPr>
        <w:spacing w:after="160" w:line="276" w:lineRule="auto"/>
        <w:jc w:val="both"/>
      </w:pPr>
      <w:r>
        <w:t>El ODI3 (Oxygen Desaturation Index, umbral ≥ 3 pp) es su subrogante más utilizado en dispositivos domiciliarios: cuenta las desaturaciones de SpO₂ por hora sin requerir PSG ni técnico especializado. Su concordancia con el AHI es alta en el rango moderado-severo —correlaciones ρ &gt; 0,85 en estudios de validación frente a PSG (Masa et al., 2011; Duran-Cantolla et al., 2010)—, rango en el que se concentra la cohorte PAC_v2. Es importante destacar que esta concordancia implica también una limitación compartida: ambos son índices de frecuencia que cuentan eventos pero no caracterizan su forma, profundidad integrada ni respuesta autonómica. El pipeline PAC_v3 usa el ODI3 como índice de severidad nocturna de referencia, con el reconocimiento explícito de que opera como proxy del AHI en ausencia de PSG (Cap03 §3.2.1). Para la detección interna de EDOs el pipeline adopta un umbral más permisivo de ≥ 2 pp: esta elección deliberada maximiza la sensibilidad de detección y el tamaño del corpus analítico, con el costo de incluir eventos que el criterio clínico del ODI3 no contabilizaría. El ODI3 y el ODI4 se calculan como subconjuntos del corpus de 85.277 EDOs para la validación comparativa, no como umbral de detección.</w:t>
      </w:r>
    </w:p>
    <w:p w14:paraId="6B856515" w14:textId="77777777" w:rsidR="008174FE" w:rsidRDefault="00000000">
      <w:pPr>
        <w:spacing w:after="160" w:line="276" w:lineRule="auto"/>
        <w:jc w:val="both"/>
      </w:pPr>
      <w:r>
        <w:t>Que un mismo umbral de ≥ 3 pp sea al mismo tiempo criterio diagnóstico clínico estándar y criterio de agrupamiento analítico en un pipeline orientado a la morfología del evento plantea una tensión metodológica relevante. Un evento que cae apenas 2,5 pp puede tener morfología, duración y respuesta autonómica comparables a uno de 3,2 pp; clasificarlo como "no evento" por razones de convención clínica implica perder información morfológica potencialmente informativa. La decisión de adoptar ≥ 2 pp como umbral de detección —y reservar el ODI3 para la estratificación de severidad nocturna— es una de las elecciones de diseño que singularizan al pipeline PAC_v3 frente a los sistemas convencionales de análisis de oximetría.</w:t>
      </w:r>
    </w:p>
    <w:p w14:paraId="7783C66B" w14:textId="77777777" w:rsidR="008174FE" w:rsidRDefault="00000000">
      <w:pPr>
        <w:pStyle w:val="Ttulo2"/>
      </w:pPr>
      <w:r>
        <w:t>9.1.2  Más allá de la frecuencia: T90 y la carga hipóxica nocturna</w:t>
      </w:r>
    </w:p>
    <w:p w14:paraId="155FF760" w14:textId="77777777" w:rsidR="008174FE" w:rsidRDefault="00000000">
      <w:pPr>
        <w:spacing w:after="160" w:line="276" w:lineRule="auto"/>
        <w:jc w:val="both"/>
      </w:pPr>
      <w:r>
        <w:t xml:space="preserve">El T90 —fracción del tiempo de sueño con SpO₂ &lt; 90 %— y la carga hipóxica (hypoxic burden), definida como el área bajo la curva de SpO₂ durante los eventos respiratorios, representan los intentos más exitosos de capturar la dimensión temporal e integrada de la hipoxemia que AHI y ODI3 omiten.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(loop gain), umbral de arousal, respuesta muscular de la vía aérea superior y compensación postural—, cada uno variable independientemente del AHI. T90 y carga hipóxica son calculables desde oximetría domiciliaria y forman parte del quinteto de validación del pipeline PAC_v3 (Cap03 §3.3.4). </w:t>
      </w:r>
      <w:r>
        <w:lastRenderedPageBreak/>
        <w:t>Sin embargo, siguen siendo índices agregados nocturnos: integran la carga hipóxica de la noche completa pero no capturan la morfología de los eventos individuales que la generan, su distribución temporal ni la respuesta autonómica que producen.</w:t>
      </w:r>
    </w:p>
    <w:p w14:paraId="1DA1E522" w14:textId="77777777" w:rsidR="008174FE" w:rsidRDefault="00000000">
      <w:pPr>
        <w:pStyle w:val="Ttulo2"/>
      </w:pPr>
      <w:r>
        <w:t>9.1.3  La propuesta PAC: enriquecer los índices sin reemplazarlos</w:t>
      </w:r>
    </w:p>
    <w:p w14:paraId="66E01939" w14:textId="77777777" w:rsidR="008174FE" w:rsidRDefault="00000000">
      <w:pPr>
        <w:spacing w:after="160" w:line="276" w:lineRule="auto"/>
        <w:jc w:val="both"/>
      </w:pPr>
      <w:r>
        <w:t>El pipeline PAC_v3 no compite con el AHI ni con el ODI3: los calcula, los usa como referencia de severidad y los valida. Lo que añade es la dimensión estructural que esos índices suprimen. A nivel de evento: el fenotipado morfológico (Cap04) captura la forma de la curva SpO₂ —información que está presente en la señal pero que ningún índice convencional preserva. La baseline móvil de 120 s adoptada en la detección de EDOs (Cap03 §3.3.4)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A nivel de noche: los estados PAC multiescala (Cap05) capturan la organización temporal de la noche como secuencia de estados a 30 s, 5 min y 30 min —información que los índices nocturnos agregan pero no resuelven.</w:t>
      </w:r>
    </w:p>
    <w:p w14:paraId="3E3491AC" w14:textId="77777777" w:rsidR="008174FE" w:rsidRDefault="00000000">
      <w:pPr>
        <w:spacing w:after="160" w:line="276" w:lineRule="auto"/>
        <w:jc w:val="both"/>
      </w:pPr>
      <w:r>
        <w:t>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Lo que el pipeline PAC_v3 añade —y que no tiene equivalente publicado en la literatura revisada— es preservar y explotar la estructura morfológica y dinámica que esos índices descartan. Las secciones que siguen discuten cada componente de esa estructura.</w:t>
      </w:r>
    </w:p>
    <w:p w14:paraId="01C557E4" w14:textId="77777777" w:rsidR="008174FE" w:rsidRDefault="00000000">
      <w:pPr>
        <w:pStyle w:val="Ttulo1"/>
        <w:pBdr>
          <w:bottom w:val="single" w:sz="4" w:space="4" w:color="D0D8E4"/>
        </w:pBdr>
      </w:pPr>
      <w:r>
        <w:t>9.2  Fenotipado morfológico de EDOs: morfotipos C1–C5 y el ARI en perspectiva</w:t>
      </w:r>
    </w:p>
    <w:p w14:paraId="0AC98898" w14:textId="77777777" w:rsidR="008174FE" w:rsidRDefault="00000000">
      <w:pPr>
        <w:pStyle w:val="Ttulo2"/>
      </w:pPr>
      <w:r>
        <w:t>9.2.1  Los morfotipos de curvas SpO₂ frente a la literatura</w:t>
      </w:r>
    </w:p>
    <w:p w14:paraId="7089DCA0" w14:textId="77777777" w:rsidR="008174FE" w:rsidRDefault="00000000">
      <w:pPr>
        <w:spacing w:after="160" w:line="276" w:lineRule="auto"/>
        <w:jc w:val="both"/>
      </w:pPr>
      <w:r>
        <w:t>El fenotipado morfológico de eventos individuales de desaturación mediante métodos no supervisados sobre la curva de SpO₂ no tiene precedente directo en la literatura a la escala que el Proyecto APNEA propone. Los trabajos más cercanos operan sobre índices agregados por noche (T90, ODI) o sobre características univariadas de los eventos (duración, profundidad), pero no sobre la forma completa de la curva normalizada como objeto de clustering. El enfoque adoptado en el Cap04 —PCA sobre 30 puntos de curva normalizados seguido de K-means con K = 5— es metodológicamente análogo a las técnicas de fenotipado morfológico en señales de ECG (Clifton et al., 2015) y en curvas de flujo respiratorio de PSG, pero aplicado a una escala de corpus (84.248 eventos) que excede la de cualquier estudio previo en oximetría nocturna portátil.</w:t>
      </w:r>
    </w:p>
    <w:p w14:paraId="73E1D9CD" w14:textId="77777777" w:rsidR="008174FE" w:rsidRDefault="00000000">
      <w:pPr>
        <w:spacing w:after="160" w:line="276" w:lineRule="auto"/>
        <w:jc w:val="both"/>
      </w:pPr>
      <w:r>
        <w:t xml:space="preserve">Los cinco morfotipos C1–C5 emergen con una estructura interpretable: el eje de la primera componente principal (PC1 = 62,9 % de la varianza explicada) captura fundamentalmente la profundidad de la caída de SpO₂, y el gradiente C1 → C5 representa un espectro de severidad creciente. Los morfotipos C4 y C5 —que concentran el 6,1 % de los eventos pero la fracción más alta de carga hipóxica por evento— corresponden a lo que la literatura </w:t>
      </w:r>
      <w:r>
        <w:lastRenderedPageBreak/>
        <w:t>clínica denomina apneas obstructivas prolongadas con desaturación severa. La consistencia del morfotipo dentro de un mismo paciente a lo largo de las noches (ICC inter-noche moderado) sugiere que los morfotipos capturan un rasgo relativamente estable de la fisiopatología individual, no un artefacto de la variabilidad nocturna. Este resultado es coherente con la observación de Eckert et al. (2013) de que los pacientes con SAOS difieren en sus mecanismos fisiopatológicos dominantes de forma relativamente consistente entre noches y sesiones.</w:t>
      </w:r>
    </w:p>
    <w:p w14:paraId="3A6D8FC6" w14:textId="77777777" w:rsidR="008174FE" w:rsidRDefault="00000000">
      <w:pPr>
        <w:spacing w:after="160" w:line="276" w:lineRule="auto"/>
        <w:jc w:val="both"/>
      </w:pPr>
      <w:r>
        <w:t>Un hallazgo complementario del Cap04 es la distribución del intervalo inter-evento (IEI): el IEI mediano resultó de 82 segundos, con el 62,8 % de los pares de eventos consecutivos separados por menos de 2 minutos. Este patrón de agrupamiento temporal —coherente con la descripción de trenes apneicos en la literatura (Oliven et al., 2020)— tiene una implicación metodológica directa para el pipeline: la elección de un baseline móvil de 120 segundos en la detección de EDOs (Cap03 §3.3.4) no es arbitraria sino solidariamente coherente con la dinámica inter-evento observada. Un baseline más corto capturaría el efecto residual de desaturaciones previas como nivel de referencia, sobreestimando la profundidad relativa de los eventos en trenes densos; uno más largo, en cambio, se adaptaría más lentamente a los cambios crónicos de SpO₂ en pacientes con hipoxemia basal persistente. El valor de 120 s opera en el equilibrio entre ambos riesgos, y su validez empírica queda respaldada por la distribución del IEI observada en el corpus.</w:t>
      </w:r>
    </w:p>
    <w:p w14:paraId="183173FA" w14:textId="77777777" w:rsidR="008174FE" w:rsidRDefault="00000000">
      <w:pPr>
        <w:pStyle w:val="Ttulo2"/>
      </w:pPr>
      <w:r>
        <w:t>9.2.2  El ARI: una dimensión ortogonal a la severidad hipóxica</w:t>
      </w:r>
    </w:p>
    <w:p w14:paraId="3C3AF784" w14:textId="77777777" w:rsidR="008174FE" w:rsidRDefault="00000000">
      <w:pPr>
        <w:spacing w:after="160" w:line="276" w:lineRule="auto"/>
        <w:jc w:val="both"/>
      </w:pPr>
      <w:r>
        <w:t>El Índice de Reactividad Autonómica (ARI) es la contribución metodológica más original del Cap04.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14:paraId="3D36578C" w14:textId="77777777" w:rsidR="008174FE" w:rsidRDefault="00000000">
      <w:pPr>
        <w:spacing w:after="160" w:line="276" w:lineRule="auto"/>
        <w:jc w:val="both"/>
      </w:pPr>
      <w:r>
        <w:t>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14:paraId="68C97278" w14:textId="77777777" w:rsidR="008174FE" w:rsidRDefault="00000000">
      <w:pPr>
        <w:spacing w:after="160" w:line="276" w:lineRule="auto"/>
        <w:jc w:val="both"/>
      </w:pPr>
      <w: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w:t>
      </w:r>
      <w:r>
        <w:lastRenderedPageBreak/>
        <w:t>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14:paraId="133952EB" w14:textId="77777777" w:rsidR="008174FE" w:rsidRDefault="00000000">
      <w:pPr>
        <w:spacing w:after="160" w:line="276" w:lineRule="auto"/>
        <w:jc w:val="both"/>
      </w:pPr>
      <w:r>
        <w:t>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14:paraId="192EB560" w14:textId="77777777" w:rsidR="008174FE" w:rsidRDefault="00000000">
      <w:pPr>
        <w:pStyle w:val="Ttulo1"/>
        <w:pBdr>
          <w:bottom w:val="single" w:sz="4" w:space="4" w:color="D0D8E4"/>
        </w:pBdr>
      </w:pPr>
      <w:r>
        <w:t>9.3  PAC States: la fisiología nocturna como sistema dinámico multiescala</w:t>
      </w:r>
    </w:p>
    <w:p w14:paraId="2FF0D99A" w14:textId="77777777" w:rsidR="008174FE" w:rsidRDefault="00000000">
      <w:pPr>
        <w:pStyle w:val="Ttulo2"/>
      </w:pPr>
      <w:r>
        <w:t>9.3.1  Representación del sueño como secuencia de estados</w:t>
      </w:r>
    </w:p>
    <w:p w14:paraId="45D8A57D" w14:textId="77777777" w:rsidR="008174FE" w:rsidRDefault="00000000">
      <w:pPr>
        <w:spacing w:after="160" w:line="276" w:lineRule="auto"/>
        <w:jc w:val="both"/>
      </w:pPr>
      <w:r>
        <w:t>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14:paraId="23517D43" w14:textId="77777777" w:rsidR="008174FE" w:rsidRDefault="00000000">
      <w:pPr>
        <w:spacing w:after="160" w:line="276" w:lineRule="auto"/>
        <w:jc w:val="both"/>
      </w:pPr>
      <w:r>
        <w:t>La elección del número de estados por escala —K = 7 para escala S, K = 5 para M, K = 4 para L— fue guiada por criterios de silhouette y estabilidad entre inicializaciones, no por analogía con la taxonomía de estadios del sueño de la AASM. El resultado es que los estados PAC no se mapean directamente a los estadios clásicos (N1, N2, N3, REM), pero sí correlacionan con índices de severidad de manera diferencial: S4 con ODI3 (ρ = +0,690), M1 con T90 (ρ = +0,744), L0 con T90 (ρ = +0,705). Esta especialización funcional sugiere que los estados PAC capturan dimensiones de la fisiología nocturna que los estadios del sueño convencionales no sintetizan, porque los estadios AASM fueron definidos con criterios de actividad cortical, no de severidad hipóxica o reactividad autonómica.</w:t>
      </w:r>
    </w:p>
    <w:p w14:paraId="083F2672" w14:textId="77777777" w:rsidR="008174FE" w:rsidRDefault="00000000">
      <w:pPr>
        <w:pStyle w:val="Ttulo2"/>
      </w:pPr>
      <w:r>
        <w:t>9.3.2  Especialización funcional: el hallazgo central del Cap05</w:t>
      </w:r>
    </w:p>
    <w:p w14:paraId="79B2923E" w14:textId="77777777" w:rsidR="008174FE" w:rsidRDefault="00000000">
      <w:pPr>
        <w:spacing w:after="160" w:line="276" w:lineRule="auto"/>
        <w:jc w:val="both"/>
      </w:pPr>
      <w:r>
        <w:t xml:space="preserve">El hallazgo de especialización funcional entre las tres escalas temporales —cada escala predice una dimensión diferente de la severidad nocturna— es el resultado de mayor </w:t>
      </w:r>
      <w:r>
        <w:lastRenderedPageBreak/>
        <w:t>originalidad del Cap05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14:paraId="52A14284" w14:textId="77777777" w:rsidR="008174FE" w:rsidRDefault="00000000">
      <w:pPr>
        <w:spacing w:after="160" w:line="276" w:lineRule="auto"/>
        <w:jc w:val="both"/>
      </w:pPr>
      <w:r>
        <w:t>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24 features PAC (21 fracciones de estados más 3 entropías de transición) captura esa estructura de manera compacta, sin requerir anotación manual de eventos ni clasificación de estadios de sueño.</w:t>
      </w:r>
    </w:p>
    <w:p w14:paraId="0F81B4AC" w14:textId="77777777" w:rsidR="008174FE" w:rsidRDefault="00000000">
      <w:pPr>
        <w:spacing w:after="160" w:line="276" w:lineRule="auto"/>
        <w:jc w:val="both"/>
      </w:pPr>
      <w:r>
        <w:t>Una dimensión adicional del vector de features PAC que merece discusión interpretativa es la entropía de distribución de estados por escala. Las noches de alta carga hipóxica exhiben, en promedio, menor entropía que las noches sin carga: el sistema fisiológico adopta un patrón más estereotipado y predecible, concentrando el tiempo en un subconjunto reducido de estados (M1 en escala M, L0 en escala L). Esta asociación entre baja entropía y alta severidad es coherente con la literatura sobre reducción de la variabilidad de la frecuencia cardíaca en SAOS severo (Narkiewicz &amp; Somers, 2003), donde la hipoxemia recurrente se asocia a menor flexibilidad adaptativa del sistema autonómico. El número de transiciones entre estados —tercera familia de features PAC— complementa la entropía capturando la fragmentación dinámica de la noche independientemente de cuáles estados dominan.</w:t>
      </w:r>
    </w:p>
    <w:p w14:paraId="7DFCE17A" w14:textId="77777777" w:rsidR="008174FE" w:rsidRDefault="00000000">
      <w:pPr>
        <w:spacing w:after="160" w:line="276" w:lineRule="auto"/>
        <w:jc w:val="both"/>
      </w:pPr>
      <w:r>
        <w:t>El clustering nocturno multiescala (K = 3, Cap05 §5.6.1) aporta un hallazgo adicional relevante para la comprensión del ARI: los tres fenotipos nocturnos identificados —baja severidad, severidad moderada y alta carga hipóxica— se diferencian claramente en las fracciones de estados M y L y en los índices de severidad clínica, pero presentan valores de ARI prácticamente idénticos entre clusters. Este resultado confirma, a nivel de noche completa, el hallazgo de nivel de evento discutido en §9.2.2: la reactividad autonómica no es función de la carga hipóxica acumulada durante la noche, sino una propiedad del sistema cardiovascular del paciente que se expresa de forma transversal a través de todo el perfil nocturno. PAC States captura la severidad; el ARI captura la reactividad; y ambos describen dimensiones ortogonales del fenotipo.</w:t>
      </w:r>
    </w:p>
    <w:p w14:paraId="696311F5" w14:textId="77777777" w:rsidR="008174FE" w:rsidRDefault="00000000">
      <w:pPr>
        <w:pStyle w:val="Ttulo2"/>
      </w:pPr>
      <w:r>
        <w:t>9.3.3  Variabilidad intraindividual como información</w:t>
      </w:r>
    </w:p>
    <w:p w14:paraId="18B4E1F6" w14:textId="77777777" w:rsidR="008174FE" w:rsidRDefault="00000000">
      <w:pPr>
        <w:spacing w:after="160" w:line="276" w:lineRule="auto"/>
        <w:jc w:val="both"/>
      </w:pPr>
      <w:r>
        <w:t xml:space="preserve">La literatura clásica del sueño trata la variabilidad noche a noche como ruido: las guías de estadificación recomiendan estudios repetidos para obtener estimaciones estables de los índices de severidad (Masa et al., 2011). El Proyecto APNEA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w:t>
      </w:r>
      <w:r>
        <w:lastRenderedPageBreak/>
        <w:t>alcohol, fatiga, temperatura ambiente), y esa modulación puede ser clínicamente relevante si ciertos desencadenantes están sistemáticamente asociados a noches de mayor severidad.</w:t>
      </w:r>
    </w:p>
    <w:p w14:paraId="6E4D5ACE" w14:textId="77777777" w:rsidR="008174FE" w:rsidRDefault="00000000">
      <w:pPr>
        <w:spacing w:after="160" w:line="276" w:lineRule="auto"/>
        <w:jc w:val="both"/>
      </w:pPr>
      <w:r>
        <w:t>El análisis de trayectorias nocturnas (K = 3, Cap06 §6.7) materializa esta perspectiva: los tres fenotipos de trayectoria (Estable-Protector, Carga Intermedia, Carga Hipóxica Alta) no describen pacientes distintos sino noches distintas de los mismos pacientes. El hallazgo de que el fenotipo de Carga Hipóxica Alta (CHA) aparece con frecuencia en pacientes clasificados como SAOS moderado según su ODI3 nocturno medio es particularmente relevante: implica que algunos pacientes moderados tienen noches puntualmente severas que el promedio enmascara, y que esas noches podrían ser identificadas prospectivamente mediante las representaciones PAC antes de que se consolide la carga hipóxica acumulada.</w:t>
      </w:r>
    </w:p>
    <w:p w14:paraId="28A172C5" w14:textId="77777777" w:rsidR="008174FE" w:rsidRDefault="00000000">
      <w:pPr>
        <w:pStyle w:val="Ttulo1"/>
        <w:pBdr>
          <w:bottom w:val="single" w:sz="4" w:space="4" w:color="D0D8E4"/>
        </w:pBdr>
      </w:pPr>
      <w:r>
        <w:t>9.4  Acoplamiento morfotipo–estado: la estructura no aleatoria del riesgo nocturno</w:t>
      </w:r>
    </w:p>
    <w:p w14:paraId="54BCB2A0" w14:textId="77777777" w:rsidR="008174FE" w:rsidRDefault="00000000">
      <w:pPr>
        <w:spacing w:after="160" w:line="276" w:lineRule="auto"/>
        <w:jc w:val="both"/>
      </w:pPr>
      <w:r>
        <w:t>El acoplamiento entre el estado fisiológico activo y la morfología del evento que ocurre en él es el concepto articulador del Cap06.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14:paraId="661D93C4" w14:textId="77777777" w:rsidR="008174FE" w:rsidRDefault="00000000">
      <w:pPr>
        <w:spacing w:after="160" w:line="276" w:lineRule="auto"/>
        <w:jc w:val="both"/>
      </w:pPr>
      <w:r>
        <w:t>La respuesta es afirmativa en las tres escalas: V de Cramér = 0,356 (escala S), 0,231 (M) y 0,196 (L). Los estados de mayor concentración de morfotipos C4+C5 son S2, S4 y S6 en la escala S; M1 y M3 en la M; y L0 y L1 en la L. Las tasas de riesgo relativo (RR) son clínicamente interpretables: un evento que ocurre en estado S6 tiene 4,9 veces más probabilidad de ser C4 o C5 que uno que ocurre en un estado protector. Esta estructura implica que el contexto dinámico de la noche —el estado PAC activo en el momento del evento— es informativo sobre la severidad probable del evento que está ocurriendo, incluso antes de observar la forma completa de la curva. La cuantificación de este acoplamiento morfotipo–estado sobre más de 80.000 eventos no tiene precedente directo en la literatura de monitoreo domiciliario del SAOS: los estudios que analizan la variabilidad evento a evento generalmente lo hacen sobre índices univariados —duración o profundidad del evento— sin conectarlos con el estado dinámico multiescala de la noche, y el enfoque del pipeline PAC_v3 hace posible esta caracterización sin instrumentación adicional ni anotación manual.</w:t>
      </w:r>
    </w:p>
    <w:p w14:paraId="17BAB8C5" w14:textId="77777777" w:rsidR="008174FE" w:rsidRDefault="00000000">
      <w:pPr>
        <w:spacing w:after="160" w:line="276" w:lineRule="auto"/>
        <w:jc w:val="both"/>
      </w:pPr>
      <w:r>
        <w:t>La relación entre acoplamiento y resiliencia post-evento —la probabilidad de que el estado permanezca igual tras un evento severo— añade una dimensión temporal relevante: la inercia del estado es creciente con la escala (S = 43,3 %, M = 12,3 %, L = 1,3 %). Esto implica que los estados de mayor riesgo en la escala S son más efímeros —el sistema puede salir de ellos con relativa rapidez— mientras que los estados de riesgo en la escala L son más persistentes: una vez que la arquitectura global de la noche adopta un patrón L0 (hipoxemia sostenida), el sistema tiende a permanecer en ese régimen durante períodos prolongados. Esta inercia creciente con la escala es el fundamento fisiológico de la predicción prospectiva con horizonte de 5–15 min implementada en el Cap08.</w:t>
      </w:r>
    </w:p>
    <w:p w14:paraId="714F2CFD" w14:textId="77777777" w:rsidR="008174FE" w:rsidRDefault="00000000">
      <w:pPr>
        <w:pStyle w:val="Ttulo1"/>
        <w:pBdr>
          <w:bottom w:val="single" w:sz="4" w:space="4" w:color="D0D8E4"/>
        </w:pBdr>
      </w:pPr>
      <w:r>
        <w:lastRenderedPageBreak/>
        <w:t>9.5  De la caracterización al pronóstico: los modelos del Cap06 y Cap08 frente a la literatura</w:t>
      </w:r>
    </w:p>
    <w:p w14:paraId="057DD46F" w14:textId="77777777" w:rsidR="008174FE" w:rsidRDefault="00000000">
      <w:pPr>
        <w:pStyle w:val="Ttulo2"/>
      </w:pPr>
      <w:r>
        <w:t>9.5.1  Clasificación retrospectiva vs. predicción prospectiva</w:t>
      </w:r>
    </w:p>
    <w:p w14:paraId="474B56CD" w14:textId="77777777" w:rsidR="008174FE" w:rsidRDefault="00000000">
      <w:pPr>
        <w:spacing w:after="160" w:line="276" w:lineRule="auto"/>
        <w:jc w:val="both"/>
      </w:pPr>
      <w:r>
        <w:t>Los análisis del Cap06 y Cap08 representan dos preguntas analíticamente distintas. El Cap06 pregunta: dado que un evento está ocurriendo ahora, ¿cuál es su morfotipo probable y el riesgo nocturno acumulado? el Cap08 pregunta: dado el estado fisiológico ahora, ¿habrá un evento severo en los próximos H minutos? La distinción no es solo técnica: implica que el Cap08 opera sin señal de evento en curso, lo que lo hace más difícil (AUC 8 puntos menor que el obtenido en Cap06) pero también más útil clínicamente, porque habilita la intervención antes de que el evento comience.</w:t>
      </w:r>
    </w:p>
    <w:p w14:paraId="304DE452" w14:textId="77777777" w:rsidR="008174FE" w:rsidRDefault="00000000">
      <w:pPr>
        <w:spacing w:after="160" w:line="276" w:lineRule="auto"/>
        <w:jc w:val="both"/>
      </w:pPr>
      <w:r>
        <w:t>En la literatura de predicción de eventos en señales fisiológicas portátiles, el rendimiento del Cap08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14:paraId="373CDC35" w14:textId="77777777" w:rsidR="008174FE" w:rsidRDefault="00000000">
      <w:pPr>
        <w:spacing w:after="160" w:line="276" w:lineRule="auto"/>
        <w:jc w:val="both"/>
      </w:pPr>
      <w:r>
        <w:t>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 noche → ventana).</w:t>
      </w:r>
    </w:p>
    <w:p w14:paraId="34D89C7F" w14:textId="77777777" w:rsidR="008174FE" w:rsidRDefault="00000000">
      <w:pPr>
        <w:pStyle w:val="Ttulo2"/>
      </w:pPr>
      <w:r>
        <w:t>9.5.2  Importancia de features: la posición temporal y la historia dinámica</w:t>
      </w:r>
    </w:p>
    <w:p w14:paraId="74F8734C" w14:textId="77777777" w:rsidR="008174FE" w:rsidRDefault="00000000">
      <w:pPr>
        <w:spacing w:after="160" w:line="276" w:lineRule="auto"/>
        <w:jc w:val="both"/>
      </w:pPr>
      <w:r>
        <w:t>Un resultado interpretativo relevante del Cap08 es la jerarquía de features: window_position (posición temporal dentro de la noche) y ci_sofar (coupling index acumulado hasta el momento) dominan la importancia en todos los horizontes, con el estado PAC activo como tercera dimensión relevante para H = 2 min. Que la posición temporal sea el predictor más informativo es coherente con la literatura cronobiológica del SAOS: la distribución de los eventos severos no es uniforme a lo largo de la noche en todos los pacientes; en algunos, los episodios de mayor severidad se concentran en la segunda mitad de la noche, posiblemente en asociación con la mayor proporción de sueño REM (Lévy et al., 2015). Sin embargo, el perfil de riesgo predicho en el Cap08 es sorprendentemente plano a lo largo de los deciles de la noche, lo que sugiere que window_position opera más como covariable de contexto que como predictor de un pico temporal sistemático.</w:t>
      </w:r>
    </w:p>
    <w:p w14:paraId="7A6C2F87" w14:textId="77777777" w:rsidR="008174FE" w:rsidRDefault="00000000">
      <w:pPr>
        <w:spacing w:after="160" w:line="276" w:lineRule="auto"/>
        <w:jc w:val="both"/>
      </w:pPr>
      <w: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w:t>
      </w:r>
      <w:r>
        <w:lastRenderedPageBreak/>
        <w:t>próximo evento sea severo. Este resultado es la validación prospectiva de la estructura de acoplamiento descrita en el Cap06: si el acoplamiento fuera un artefacto espurio del clustering, no debería predecir eventos futuros con la consistencia observada.</w:t>
      </w:r>
    </w:p>
    <w:p w14:paraId="23685717" w14:textId="77777777" w:rsidR="008174FE" w:rsidRDefault="00000000">
      <w:pPr>
        <w:pStyle w:val="Ttulo2"/>
      </w:pPr>
      <w:r>
        <w:t>9.5.3  El lead time de 5 min como condición algorítmica mínima</w:t>
      </w:r>
    </w:p>
    <w:p w14:paraId="74E1C95F" w14:textId="77777777" w:rsidR="008174FE" w:rsidRDefault="00000000">
      <w:pPr>
        <w:spacing w:after="160" w:line="276" w:lineRule="auto"/>
        <w:jc w:val="both"/>
      </w:pPr>
      <w:r>
        <w:t>El concepto de condición algorítmica mínima para la intervención adaptativa es central a la interpretación del Cap08. El análisis no demuestra que el estimulador transcutáneo del SOMNI 6000 sea terapéuticamente efectivo —eso requeriría un ensayo clínico controlado con estimulación activa vs. placebo. Lo que el análisis establece es la condición previa: que existe, en las representaciones PAC construidas sobre oximetría domiciliaria, información predictiva prospectiva con horizonte suficiente para que una intervención sea algorítmicamente posible. El lead time de 5 min supera el tiempo de ramp-up fisiológico del estimulador transcutáneo (≥ 90 s; Clifton et al., 2015) por un factor mayor a 3, lo que establece que, de existir un efecto terapéutico, la ventana de anticipación sería suficiente para activarlo.</w:t>
      </w:r>
    </w:p>
    <w:p w14:paraId="14F72E50" w14:textId="77777777" w:rsidR="008174FE" w:rsidRDefault="00000000">
      <w:pPr>
        <w:spacing w:after="160" w:line="276" w:lineRule="auto"/>
        <w:jc w:val="both"/>
      </w:pPr>
      <w:r>
        <w:t>Este tipo de argumento —demostrar la condición algorítmica mínima antes de diseñar el ensayo clínico— es consistente con la metodología de desarrollo de dispositivos médicos adaptativos, donde la validación analítica precede a la validación clínica (FDA, 2019). La cadena de evidencia propuesta por el Proyecto APNEA sigue esta lógica: Cap04–06 establecen que las representaciones PAC contienen información diagnóstica de valor clínico; Cap08 establece que esa información transporta contenido predictivo prospectivo; el ensayo clínico, como trabajo futuro, evaluaría si actuar sobre esa predicción tiene efecto terapéutico.</w:t>
      </w:r>
    </w:p>
    <w:p w14:paraId="69B85CA5" w14:textId="77777777" w:rsidR="008174FE" w:rsidRDefault="00000000">
      <w:pPr>
        <w:pStyle w:val="Ttulo1"/>
        <w:pBdr>
          <w:bottom w:val="single" w:sz="4" w:space="4" w:color="D0D8E4"/>
        </w:pBdr>
      </w:pPr>
      <w:r>
        <w:t>9.6  Oximetría domiciliaria como plataforma de fenotipado: alcances y comparación con el PSG</w:t>
      </w:r>
    </w:p>
    <w:p w14:paraId="60C71EE0" w14:textId="77777777" w:rsidR="008174FE" w:rsidRDefault="00000000">
      <w:pPr>
        <w:spacing w:after="160" w:line="276" w:lineRule="auto"/>
        <w:jc w:val="both"/>
      </w:pPr>
      <w:r>
        <w:t>Una dimensión transversal a toda la tesis es el posicionamiento de la oximetría domiciliaria portátil frente al gold standard de la polisomnografía completa. La PSG proporciona información que la oximetría domiciliaria no puede replicar: electroencefalografía (estadios del sueño), electromiografía (arousal muscular), capnografía (CO₂ expirado) y videomonitoreo. El AHI, en sentido estricto, requiere PSG para su cálculo. La oximetría domiciliaria —aun con el enriquecimiento analítico que el pipeline PAC añade— no pretende sustituir al PSG en la caracterización diagnóstica completa.</w:t>
      </w:r>
    </w:p>
    <w:p w14:paraId="51F857A8" w14:textId="77777777" w:rsidR="008174FE" w:rsidRDefault="00000000">
      <w:pPr>
        <w:spacing w:after="160" w:line="276" w:lineRule="auto"/>
        <w:jc w:val="both"/>
      </w:pPr>
      <w:r>
        <w:t>Sin embargo, la literatura ha documentado que la oximetría domiciliaria portable ofrece un rendimiento diagnóstico razonablemente comparable al PSG para la detección y estratificación del SAOS moderado a severo (Duran-Cantolla et al., 2010; Masa et al., 2011). En ese rango de severidad, el ODI3 tiene alta concordancia con el AHI (correlaciones ρ &gt; 0,85 en cohortes representativas), y el T90 añade información pronóstica independiente. El valor que PAC añade sobre los índices convencionales es la estructura: la morfología de los eventos, la dinámica de los estados y el acoplamiento entre ambos son dimensiones que el PSG convencional no captura —porque su objetivo de diseño fue la estadificación del sueño, no el fenotipado morfológico de los eventos individuales.</w:t>
      </w:r>
    </w:p>
    <w:p w14:paraId="3F47B188" w14:textId="77777777" w:rsidR="008174FE" w:rsidRDefault="00000000">
      <w:pPr>
        <w:spacing w:after="160" w:line="276" w:lineRule="auto"/>
        <w:jc w:val="both"/>
      </w:pPr>
      <w:r>
        <w:t xml:space="preserve">La afirmación central de la tesis en este plano es que la oximetría portátil de un único sensor, adecuadamente procesada mediante el pipeline PAC_v3, puede producir representaciones fenotípicas de complejidad comparable a las derivadas de estudios completos para las </w:t>
      </w:r>
      <w:r>
        <w:lastRenderedPageBreak/>
        <w:t>dimensiones que PAC aborda. Esta afirmación es evaluable empíricamente: comparar los morfotipos C1–C5 y los estados PAC obtenidos sobre la cohorte PAC_v2 con los obtenidos sobre una cohorte con PSG simultánea permitiría cuantificar la pérdida de información diagnóstica. Esta comparación queda como trabajo futuro explícito, condicionada a la disponibilidad de una cohorte de validación con PSG y oximetría portátil paralelas.</w:t>
      </w:r>
    </w:p>
    <w:p w14:paraId="3C727EA8" w14:textId="77777777" w:rsidR="008174FE" w:rsidRDefault="00000000">
      <w:pPr>
        <w:pStyle w:val="Ttulo1"/>
        <w:pBdr>
          <w:bottom w:val="single" w:sz="4" w:space="4" w:color="D0D8E4"/>
        </w:pBdr>
      </w:pPr>
      <w:r>
        <w:t>9.7  Hacia la terapéutica automática del SAOS severo: condición algorítmica y agenda clínica</w:t>
      </w:r>
    </w:p>
    <w:p w14:paraId="0F71BB1E" w14:textId="77777777" w:rsidR="008174FE" w:rsidRDefault="00000000">
      <w:pPr>
        <w:pStyle w:val="Ttulo2"/>
      </w:pPr>
      <w:r>
        <w:t>9.7.1  Lo que esta tesis establece</w:t>
      </w:r>
    </w:p>
    <w:p w14:paraId="19241756" w14:textId="77777777" w:rsidR="008174FE" w:rsidRDefault="00000000">
      <w:pPr>
        <w:spacing w:after="160" w:line="276" w:lineRule="auto"/>
        <w:jc w:val="both"/>
      </w:pPr>
      <w:r>
        <w:t>El Proyecto APNEA establece, sobre una cohorte de 12 pacientes (8 en los módulos supervisados) y 553 noches de calidad, las siguientes proposiciones analíticas: (a) los eventos de desaturación de oxígeno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14:paraId="18A002E1" w14:textId="77777777" w:rsidR="008174FE" w:rsidRDefault="00000000">
      <w:pPr>
        <w:spacing w:after="160" w:line="276" w:lineRule="auto"/>
        <w:jc w:val="both"/>
      </w:pPr>
      <w:r>
        <w:t>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14:paraId="4D9B33E6" w14:textId="77777777" w:rsidR="008174FE" w:rsidRDefault="00000000">
      <w:pPr>
        <w:pStyle w:val="Ttulo2"/>
      </w:pPr>
      <w:r>
        <w:t>9.7.2  La heterogeneidad inter-paciente como barrera principal</w:t>
      </w:r>
    </w:p>
    <w:p w14:paraId="5622E74E" w14:textId="77777777" w:rsidR="008174FE" w:rsidRDefault="00000000">
      <w:pPr>
        <w:spacing w:after="160" w:line="276" w:lineRule="auto"/>
        <w:jc w:val="both"/>
      </w:pPr>
      <w:r>
        <w:t>El resultado que más claramente condiciona la traslación clínica del Cap08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en consecuencia. Este diseño de "umbral adaptativo por paciente" es coherente con la estructura del protocolo clínico del SOMNI 6000 y con las recomendaciones de la literatura de sistemas de alerta clínica portátiles (Clifton et al., 2015).</w:t>
      </w:r>
    </w:p>
    <w:p w14:paraId="141072A1" w14:textId="77777777" w:rsidR="008174FE" w:rsidRDefault="00000000">
      <w:pPr>
        <w:spacing w:after="160" w:line="276" w:lineRule="auto"/>
        <w:jc w:val="both"/>
      </w:pPr>
      <w:r>
        <w:t xml:space="preserve">La paradoja del Pac 314 —el paciente de menor prevalencia del corpus exhibe el AUC más alto (0,87–0,84 en todos los horizontes)— es reveladora en este contexto: la capacidad </w:t>
      </w:r>
      <w:r>
        <w:lastRenderedPageBreak/>
        <w:t>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14:paraId="560A556A" w14:textId="77777777" w:rsidR="008174FE" w:rsidRDefault="00000000">
      <w:pPr>
        <w:pStyle w:val="Ttulo2"/>
      </w:pPr>
      <w:r>
        <w:t>9.7.3  La circularidad PAC y el requisito de validación externa</w:t>
      </w:r>
    </w:p>
    <w:p w14:paraId="657BB5EC" w14:textId="77777777" w:rsidR="008174FE" w:rsidRDefault="00000000">
      <w:pPr>
        <w:spacing w:after="160" w:line="276" w:lineRule="auto"/>
        <w:jc w:val="both"/>
      </w:pPr>
      <w:r>
        <w:t>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14:paraId="55FF0695" w14:textId="77777777" w:rsidR="008174FE" w:rsidRDefault="00000000">
      <w:pPr>
        <w:spacing w:after="160" w:line="276" w:lineRule="auto"/>
        <w:jc w:val="both"/>
      </w:pPr>
      <w:r>
        <w:t>La solución metodológica correcta requiere una de dos estrategias: (a) validación en una cohorte externa independiente, con morphotipos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PAC_v2. Esta cohorte externa es el trabajo futuro de mayor prioridad metodológica para las publicaciones T2, T3 y T4 proyectadas.</w:t>
      </w:r>
    </w:p>
    <w:p w14:paraId="33AC78E4" w14:textId="77777777" w:rsidR="008174FE" w:rsidRDefault="00000000">
      <w:pPr>
        <w:pStyle w:val="Ttulo2"/>
      </w:pPr>
      <w:r>
        <w:t>9.7.4  El camino al ensayo clínico controlado</w:t>
      </w:r>
    </w:p>
    <w:p w14:paraId="7AA698D8" w14:textId="77777777" w:rsidR="008174FE" w:rsidRDefault="00000000">
      <w:pPr>
        <w:spacing w:after="160" w:line="276" w:lineRule="auto"/>
        <w:jc w:val="both"/>
      </w:pPr>
      <w:r>
        <w:t>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14:paraId="64428463" w14:textId="77777777" w:rsidR="008174FE" w:rsidRDefault="00000000">
      <w:pPr>
        <w:pStyle w:val="Ttulo1"/>
        <w:pBdr>
          <w:bottom w:val="single" w:sz="4" w:space="4" w:color="D0D8E4"/>
        </w:pBdr>
      </w:pPr>
      <w:r>
        <w:t>9.8  Limitaciones integradas del arco analítico</w:t>
      </w:r>
    </w:p>
    <w:p w14:paraId="66DDB5C9" w14:textId="77777777" w:rsidR="008174FE" w:rsidRDefault="00000000">
      <w:pPr>
        <w:spacing w:after="160" w:line="276" w:lineRule="auto"/>
        <w:jc w:val="both"/>
      </w:pPr>
      <w:r>
        <w:t>Las limitaciones del Proyecto APNEA han sido discutidas en cada capítulo de resultados; el presente capítulo las articula como un conjunto coherente para identificar su impacto combinado sobre la interpretación de las contribuciones.</w:t>
      </w:r>
    </w:p>
    <w:p w14:paraId="6293C878" w14:textId="77777777" w:rsidR="008174FE" w:rsidRDefault="00000000">
      <w:pPr>
        <w:spacing w:after="160" w:line="276" w:lineRule="auto"/>
        <w:jc w:val="both"/>
      </w:pPr>
      <w:r>
        <w:rPr>
          <w:b/>
          <w:bCs/>
        </w:rPr>
        <w:t xml:space="preserve">Tamaño muestral. </w:t>
      </w:r>
      <w:r>
        <w:t xml:space="preserve">La cohorte comprende 12 pacientes en los análisis descriptivos y 8 en los módulos supervisados. Para análisis no supervisados sobre el corpus de 85.277 </w:t>
      </w:r>
      <w:r>
        <w:lastRenderedPageBreak/>
        <w:t>eventos, el n es estadísticamente robusto; para los modelos supervisados validados con LOPO-CV, el n efectivo es 8 pacientes —cada fold entrena sobre 7. La consistencia del AUC entre folds (SD &lt; 3 puntos en los modelos del Cap06 y Cap08)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14:paraId="5A7E8560" w14:textId="77777777" w:rsidR="008174FE" w:rsidRDefault="00000000">
      <w:pPr>
        <w:spacing w:after="160" w:line="276" w:lineRule="auto"/>
        <w:jc w:val="both"/>
      </w:pPr>
      <w:r>
        <w:rPr>
          <w:b/>
          <w:bCs/>
        </w:rPr>
        <w:t xml:space="preserve">Sesgo de selección y representatividad poblacional. </w:t>
      </w:r>
      <w:r>
        <w:t>La cohorte PAC_v2 concentra una doble restricción que limita significativamente su representatividad poblacional. Por un lado, los 12 participantes fueron reclutados en una práctica médica privada especializada en trastornos respiratorios del sueño: todos presentaban sospecha clínica de SAOS y fueron referidos para estudio ambulatorio, lo que sobrerepresenta el rango moderado-severo de la enfermedad y excluye prácticamente a pacientes con SAOS leve, sujetos sin diagnóstico y controles sanos. Por otro lado, la cohorte es numéricamente pequeña incluso dentro de ese espectro clínico restringido: 12 pacientes es un subconjunto muy específico de la población general con SAOS, que según estimaciones epidemiológicas afecta al 9–38 % de los adultos según los criterios diagnósticos y la demografía considerada (Benjafield et al., 2019). Esta combinación —pocos pacientes, todos con patología confirmada o probable, provenientes de un único centro privado— implica que los modelos y representaciones desarrollados capturan la fisiología de pacientes diagnosticados que buscan atención especializada, no la de la población general ni la de pacientes en estadios tempranos o asintomáticos. Cualquier intento de trasladar el pipeline PAC_v3 a contextos de tamizaje poblacional, medicina preventiva o monitoreo de pacientes con SAOS leve requeriría una cohorte de validación con una distribución demográfica y clínica sustancialmente diferente.</w:t>
      </w:r>
    </w:p>
    <w:p w14:paraId="42CF8F4A" w14:textId="77777777" w:rsidR="008174FE" w:rsidRDefault="00000000">
      <w:pPr>
        <w:spacing w:after="160" w:line="276" w:lineRule="auto"/>
        <w:jc w:val="both"/>
      </w:pPr>
      <w:r>
        <w:rPr>
          <w:b/>
          <w:bCs/>
        </w:rPr>
        <w:t xml:space="preserve">Ausencia de PSG simultánea. </w:t>
      </w:r>
      <w:r>
        <w:t>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14:paraId="2FB8D470" w14:textId="77777777" w:rsidR="008174FE" w:rsidRDefault="00000000">
      <w:pPr>
        <w:spacing w:after="160" w:line="276" w:lineRule="auto"/>
        <w:jc w:val="both"/>
      </w:pPr>
      <w:r>
        <w:rPr>
          <w:b/>
          <w:bCs/>
        </w:rPr>
        <w:t xml:space="preserve">Circularidad PAC. </w:t>
      </w:r>
      <w:r>
        <w:t>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14:paraId="60BA9C42" w14:textId="77777777" w:rsidR="008174FE" w:rsidRDefault="00000000">
      <w:pPr>
        <w:spacing w:after="160" w:line="276" w:lineRule="auto"/>
        <w:jc w:val="both"/>
      </w:pPr>
      <w:r>
        <w:rPr>
          <w:b/>
          <w:bCs/>
        </w:rPr>
        <w:t xml:space="preserve">Calibración de probabilidades. </w:t>
      </w:r>
      <w:r>
        <w:t>Los modelos LightGBM de del Cap06 y Cap08 producen probabilidades pobremente calibradas en términos absolutos —sobreestimación de ~4× para el modelo del Cap08—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14:paraId="72098C6E" w14:textId="77777777" w:rsidR="008174FE" w:rsidRDefault="00000000">
      <w:pPr>
        <w:spacing w:after="160" w:line="276" w:lineRule="auto"/>
        <w:jc w:val="both"/>
      </w:pPr>
      <w:r>
        <w:rPr>
          <w:b/>
          <w:bCs/>
        </w:rPr>
        <w:t xml:space="preserve">Efecto del estimulador: hipótesis no evaluada. </w:t>
      </w:r>
      <w:r>
        <w:t xml:space="preserve">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w:t>
      </w:r>
      <w:r>
        <w:lastRenderedPageBreak/>
        <w:t>eficacia terapéutica debe mantenerse explícita en cualquier comunicación de estos resultados.</w:t>
      </w:r>
    </w:p>
    <w:p w14:paraId="735D4CD9" w14:textId="77777777" w:rsidR="008174FE" w:rsidRDefault="00000000">
      <w:pPr>
        <w:pStyle w:val="Ttulo1"/>
        <w:pBdr>
          <w:bottom w:val="single" w:sz="4" w:space="4" w:color="D0D8E4"/>
        </w:pBdr>
      </w:pPr>
      <w:r>
        <w:t>9.9  Síntesis: la cadena EDO → Estados → Acople → Fenotipia → Predicción como contribución unificada</w:t>
      </w:r>
    </w:p>
    <w:p w14:paraId="5D5A0875" w14:textId="77777777" w:rsidR="008174FE" w:rsidRDefault="00000000">
      <w:pPr>
        <w:spacing w:after="160" w:line="276" w:lineRule="auto"/>
        <w:jc w:val="both"/>
      </w:pPr>
      <w:r>
        <w:t>La contribución central del Proyecto APNEA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(Cap08), y el fenotipo de trayectoria nocturna predice el riesgo de noche de alta carga hipóxica (Cap06 §6.11).</w:t>
      </w:r>
    </w:p>
    <w:p w14:paraId="6203526F" w14:textId="77777777" w:rsidR="008174FE" w:rsidRDefault="00000000">
      <w:pPr>
        <w:spacing w:after="160" w:line="276" w:lineRule="auto"/>
        <w:jc w:val="both"/>
      </w:pPr>
      <w:r>
        <w:t>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~146 features por noche), interpretables (cada feature tiene un correlato fisiológico) y predictivamente útiles (los modelos que las utilizan superan de forma consistente a los baselines).</w:t>
      </w:r>
    </w:p>
    <w:p w14:paraId="347E55AD" w14:textId="77777777" w:rsidR="008174FE" w:rsidRDefault="00000000">
      <w:pPr>
        <w:spacing w:after="160" w:line="276" w:lineRule="auto"/>
        <w:jc w:val="both"/>
      </w:pPr>
      <w:r>
        <w:t>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14:paraId="6DA99028" w14:textId="77777777" w:rsidR="008174FE" w:rsidRDefault="00000000">
      <w:pPr>
        <w:spacing w:after="160" w:line="276" w:lineRule="auto"/>
        <w:jc w:val="both"/>
      </w:pPr>
      <w:r>
        <w:t>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14:paraId="1D0C4538" w14:textId="77777777" w:rsidR="008174FE" w:rsidRDefault="00000000">
      <w:pPr>
        <w:spacing w:before="280" w:after="100"/>
      </w:pPr>
      <w:r>
        <w:rPr>
          <w:b/>
          <w:bCs/>
          <w:color w:val="1E3A5F"/>
        </w:rPr>
        <w:t>Bridge al Capítulo 10 — Conclusiones</w:t>
      </w:r>
    </w:p>
    <w:p w14:paraId="7AC84464" w14:textId="77777777" w:rsidR="008174FE" w:rsidRDefault="00000000">
      <w:pPr>
        <w:spacing w:after="160" w:line="276" w:lineRule="auto"/>
        <w:jc w:val="both"/>
      </w:pPr>
      <w:r>
        <w:lastRenderedPageBreak/>
        <w:t>El Capítulo 10 sintetiza las contribuciones del Proyecto APNEA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14:paraId="6FF4A25E" w14:textId="77777777" w:rsidR="008174FE" w:rsidRDefault="00000000">
      <w:r>
        <w:br w:type="page"/>
      </w:r>
    </w:p>
    <w:p w14:paraId="1705DB86" w14:textId="77777777" w:rsidR="008174FE" w:rsidRDefault="00000000">
      <w:pPr>
        <w:pStyle w:val="Ttulo1"/>
        <w:pBdr>
          <w:bottom w:val="single" w:sz="4" w:space="4" w:color="D0D8E4"/>
        </w:pBdr>
      </w:pPr>
      <w:r>
        <w:lastRenderedPageBreak/>
        <w:t>Referencias</w:t>
      </w:r>
    </w:p>
    <w:p w14:paraId="56C36265" w14:textId="77777777" w:rsidR="008174FE" w:rsidRDefault="00000000">
      <w:pPr>
        <w:spacing w:after="100"/>
        <w:ind w:left="720" w:hanging="720"/>
        <w:jc w:val="both"/>
      </w:pPr>
      <w:r>
        <w:rPr>
          <w:sz w:val="18"/>
          <w:szCs w:val="18"/>
        </w:rP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20A297CE" w14:textId="77777777" w:rsidR="008174FE" w:rsidRDefault="00000000">
      <w:pPr>
        <w:spacing w:after="100"/>
        <w:ind w:left="720" w:hanging="720"/>
        <w:jc w:val="both"/>
      </w:pPr>
      <w:r>
        <w:rPr>
          <w:sz w:val="18"/>
          <w:szCs w:val="18"/>
        </w:rPr>
        <w:t>Behar, J. A., Palmius, N., Li, Q., Garber, M., Nagaraj, S. B., &amp; Clifford, G. D. (2019). Feasibility of single channel oximetry for mass screening of obstructive sleep apnea. EClinicalMedicine, 11, 81–88. https://doi.org/10.1016/j.eclinm.2019.05.009</w:t>
      </w:r>
    </w:p>
    <w:p w14:paraId="18A68EE2" w14:textId="77777777" w:rsidR="008174FE" w:rsidRDefault="00000000">
      <w:pPr>
        <w:spacing w:after="100"/>
        <w:ind w:left="720" w:hanging="720"/>
        <w:jc w:val="both"/>
      </w:pPr>
      <w:r>
        <w:rPr>
          <w:sz w:val="18"/>
          <w:szCs w:val="18"/>
        </w:rPr>
        <w:t>Berry, R. B., Budhiraja, R., Gottlieb, D. J., Gozal, D., Iber, C., Kapur, V. K., … &amp; Tangredi, M. M. (2012). Rules for scoring respiratory events in sleep: update of the 2007 AASM Manual for Scoring of Sleep. Journal of Clinical Sleep Medicine, 8(5), 597–619. https://doi.org/10.5664/jcsm.2172</w:t>
      </w:r>
    </w:p>
    <w:p w14:paraId="48C42DCC" w14:textId="77777777" w:rsidR="008174FE" w:rsidRDefault="00000000">
      <w:pPr>
        <w:spacing w:after="100"/>
        <w:ind w:left="720" w:hanging="720"/>
        <w:jc w:val="both"/>
      </w:pPr>
      <w:r>
        <w:rPr>
          <w:sz w:val="18"/>
          <w:szCs w:val="18"/>
        </w:rPr>
        <w:t>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14:paraId="291DBFB5" w14:textId="77777777" w:rsidR="008174FE" w:rsidRDefault="00000000">
      <w:pPr>
        <w:spacing w:after="100"/>
        <w:ind w:left="720" w:hanging="720"/>
        <w:jc w:val="both"/>
      </w:pPr>
      <w:r>
        <w:rPr>
          <w:sz w:val="18"/>
          <w:szCs w:val="18"/>
        </w:rPr>
        <w:t>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14:paraId="75503900" w14:textId="77777777" w:rsidR="008174FE" w:rsidRDefault="00000000">
      <w:pPr>
        <w:spacing w:after="100"/>
        <w:ind w:left="720" w:hanging="720"/>
        <w:jc w:val="both"/>
      </w:pPr>
      <w:r>
        <w:rPr>
          <w:sz w:val="18"/>
          <w:szCs w:val="18"/>
        </w:rPr>
        <w:t>Eckert, D. J., White, D. P., Jordan, A. S., Malhotra, A., &amp; Wellman, A. (2013). Defining phenotypic causes of obstructive sleep apnea. Identification of novel therapeutic targets. American Journal of Respiratory and Critical Care Medicine, 188(8), 996–1004. https://doi.org/10.1164/rccm.201303-0448OC</w:t>
      </w:r>
    </w:p>
    <w:p w14:paraId="21A7A253" w14:textId="77777777" w:rsidR="008174FE" w:rsidRDefault="00000000">
      <w:pPr>
        <w:spacing w:after="100"/>
        <w:ind w:left="720" w:hanging="720"/>
        <w:jc w:val="both"/>
      </w:pPr>
      <w:r>
        <w:rPr>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14:paraId="370AFE3A" w14:textId="77777777" w:rsidR="008174FE" w:rsidRDefault="00000000">
      <w:pPr>
        <w:spacing w:after="100"/>
        <w:ind w:left="720" w:hanging="720"/>
        <w:jc w:val="both"/>
      </w:pPr>
      <w:r>
        <w:rPr>
          <w:sz w:val="18"/>
          <w:szCs w:val="18"/>
        </w:rPr>
        <w:t>Inza, R., et al. (en preparación). Fenotipado morfológico y respuesta autonómica en eventos de desaturación nocturna: el Índice de Reactividad Autonómica (ARI). [T1]</w:t>
      </w:r>
    </w:p>
    <w:p w14:paraId="3BC7DA20" w14:textId="77777777" w:rsidR="008174FE" w:rsidRDefault="00000000">
      <w:pPr>
        <w:spacing w:after="100"/>
        <w:ind w:left="720" w:hanging="720"/>
        <w:jc w:val="both"/>
      </w:pPr>
      <w:r>
        <w:rPr>
          <w:sz w:val="18"/>
          <w:szCs w:val="18"/>
        </w:rPr>
        <w:t>Inza, R., et al. (en preparación). Estados dinámicos multiescala de la fisiología nocturna en SAOS: el sistema PAC States. [T2]</w:t>
      </w:r>
    </w:p>
    <w:p w14:paraId="7D07DC68" w14:textId="77777777" w:rsidR="008174FE" w:rsidRDefault="00000000">
      <w:pPr>
        <w:spacing w:after="100"/>
        <w:ind w:left="720" w:hanging="720"/>
        <w:jc w:val="both"/>
      </w:pPr>
      <w:r>
        <w:rPr>
          <w:sz w:val="18"/>
          <w:szCs w:val="18"/>
        </w:rPr>
        <w:t>Inza, R., et al. (en preparación). Acoplamiento morfotipo–estado y modelado predictivo basado en representaciones PAC. [T3]</w:t>
      </w:r>
    </w:p>
    <w:p w14:paraId="319F795E" w14:textId="77777777" w:rsidR="008174FE" w:rsidRDefault="00000000">
      <w:pPr>
        <w:spacing w:after="100"/>
        <w:ind w:left="720" w:hanging="720"/>
        <w:jc w:val="both"/>
      </w:pPr>
      <w:r>
        <w:rPr>
          <w:sz w:val="18"/>
          <w:szCs w:val="18"/>
        </w:rPr>
        <w:t>Inza, R., et al. (en preparación). Predicción prospectiva de eventos de desaturación severa con horizonte temporal clínico mediante representaciones PAC. [T4]</w:t>
      </w:r>
    </w:p>
    <w:p w14:paraId="4DFFE117" w14:textId="77777777" w:rsidR="008174FE" w:rsidRDefault="00000000">
      <w:pPr>
        <w:spacing w:after="100"/>
        <w:ind w:left="720" w:hanging="720"/>
        <w:jc w:val="both"/>
      </w:pPr>
      <w:r>
        <w:rPr>
          <w:sz w:val="18"/>
          <w:szCs w:val="18"/>
        </w:rPr>
        <w:t>Ke, G., Meng, Q., Finley, T., Wang, T., Chen, W., Ma, W., Ye, Q., &amp; Liu, T.-Y. (2017). LightGBM: a highly efficient gradient boosting decision tree. Advances in Neural Information Processing Systems, 30, 3146–3154.</w:t>
      </w:r>
    </w:p>
    <w:p w14:paraId="6C6B164E" w14:textId="77777777" w:rsidR="008174FE" w:rsidRDefault="00000000">
      <w:pPr>
        <w:spacing w:after="100"/>
        <w:ind w:left="720" w:hanging="720"/>
        <w:jc w:val="both"/>
      </w:pPr>
      <w:r>
        <w:rPr>
          <w:sz w:val="18"/>
          <w:szCs w:val="18"/>
        </w:rPr>
        <w:t>Lévy, P., Kohler, M., McNicholas, W. T., Barbé, F., McEvoy, R. D., Somers, V. K., … &amp; Pépin, J.-L. (2015). Obstructive sleep apnoea syndrome. Nature Reviews Disease Primers, 1, 15015. https://doi.org/10.1038/nrdp.2015.15</w:t>
      </w:r>
    </w:p>
    <w:p w14:paraId="63439E34" w14:textId="77777777" w:rsidR="008174FE" w:rsidRDefault="00000000">
      <w:pPr>
        <w:spacing w:after="100"/>
        <w:ind w:left="720" w:hanging="720"/>
        <w:jc w:val="both"/>
      </w:pPr>
      <w:r>
        <w:rPr>
          <w:sz w:val="18"/>
          <w:szCs w:val="18"/>
        </w:rPr>
        <w:t>Masa, J. F., Corral, J., Pereira, R., Duran-Cantolla, J., Cabello, M., Hernández-Blasco, L., … &amp; Montserrat, J. M. (2011). Effectiveness of home respiratory polygraphy for the diagnosis of sleep apnoea and hypopnoea syndrome. Thorax, 66(7), 567–573. https://doi.org/10.1136/thx.2010.152272</w:t>
      </w:r>
    </w:p>
    <w:p w14:paraId="34191213" w14:textId="77777777" w:rsidR="008174FE" w:rsidRDefault="00000000">
      <w:pPr>
        <w:spacing w:after="100"/>
        <w:ind w:left="720" w:hanging="720"/>
        <w:jc w:val="both"/>
      </w:pPr>
      <w:r>
        <w:rPr>
          <w:sz w:val="18"/>
          <w:szCs w:val="18"/>
        </w:rPr>
        <w:t>Niculescu-Mizil, A., &amp; Caruana, R. (2005). Predicting good probabilities with supervised learning. Proceedings of the 22nd International Conference on Machine Learning (ICML), 625–632. https://doi.org/10.1145/1102351.1102430</w:t>
      </w:r>
    </w:p>
    <w:p w14:paraId="40D72CEF" w14:textId="77777777" w:rsidR="008174FE" w:rsidRDefault="00000000">
      <w:pPr>
        <w:spacing w:after="100"/>
        <w:ind w:left="720" w:hanging="720"/>
        <w:jc w:val="both"/>
      </w:pPr>
      <w:r>
        <w:rPr>
          <w:sz w:val="18"/>
          <w:szCs w:val="18"/>
        </w:rPr>
        <w:t>Patel, S. R., White, D. P., Malhotra, A., Stanchina, M., &amp; Ayas, N. T. (2019). Continuous positive airway pressure therapy for treating sleepiness in a diverse population with obstructive sleep apnea: results of a meta-analysis. Archives of Internal Medicine, 163(5), 565–571. https://doi.org/10.1001/archinte.163.5.565</w:t>
      </w:r>
    </w:p>
    <w:p w14:paraId="19E391FC" w14:textId="77777777" w:rsidR="008174FE" w:rsidRDefault="00000000">
      <w:pPr>
        <w:spacing w:after="100"/>
        <w:ind w:left="720" w:hanging="720"/>
        <w:jc w:val="both"/>
      </w:pPr>
      <w:r>
        <w:rPr>
          <w:sz w:val="18"/>
          <w:szCs w:val="18"/>
        </w:rPr>
        <w:t>Penzel, T., Kantelhardt, J. W., Bartsch, R. P., Riedl, M., Kraemer, J. F., Wessel, N., … &amp; Schöbel, C. (2016). Modulations of heart rate, ECG, and cardio-respiratory coupling observed in polysomnography. Frontiers in Physiology, 7, 460. https://doi.org/10.3389/fphys.2016.00460</w:t>
      </w:r>
    </w:p>
    <w:p w14:paraId="4A643D20" w14:textId="77777777" w:rsidR="008174FE" w:rsidRDefault="00000000">
      <w:pPr>
        <w:spacing w:after="100"/>
        <w:ind w:left="720" w:hanging="720"/>
        <w:jc w:val="both"/>
      </w:pPr>
      <w:r>
        <w:rPr>
          <w:sz w:val="18"/>
          <w:szCs w:val="18"/>
        </w:rPr>
        <w:t>Saito, T., &amp; Rehmsmeier, M. (2015). The precision-recall plot is more informative than the ROC plot when evaluating binary classifiers on imbalanced datasets. PLOS ONE, 10(3), e0118432. https://doi.org/10.1371/journal.pone.0118432</w:t>
      </w:r>
    </w:p>
    <w:p w14:paraId="0289C088" w14:textId="77777777" w:rsidR="008174FE" w:rsidRDefault="00000000">
      <w:pPr>
        <w:spacing w:after="100"/>
        <w:ind w:left="720" w:hanging="720"/>
        <w:jc w:val="both"/>
      </w:pPr>
      <w:r>
        <w:rPr>
          <w:sz w:val="18"/>
          <w:szCs w:val="18"/>
        </w:rPr>
        <w:t>Sands, S. A., Terrill, P. I., Edwards, B. A., Taranto-Montemurro, L., Azarbarzin, A., Nguyen, A. T., … &amp; Wellman, A. (2021). Quantifying the arousal threshold using polysomnography in obstructive sleep apnea. Sleep, 41(1), zsx183. https://doi.org/10.1093/sleep/zsx183</w:t>
      </w:r>
    </w:p>
    <w:p w14:paraId="79ABD4F4" w14:textId="77777777" w:rsidR="008174FE" w:rsidRDefault="00000000">
      <w:pPr>
        <w:spacing w:after="100"/>
        <w:ind w:left="720" w:hanging="720"/>
        <w:jc w:val="both"/>
      </w:pPr>
      <w:r>
        <w:rPr>
          <w:sz w:val="18"/>
          <w:szCs w:val="18"/>
        </w:rPr>
        <w:lastRenderedPageBreak/>
        <w:t>Stradling, J. R., &amp; Davies, R. J. O. (2004). Sleep · 1: Obstructive sleep apnoea/hypopnoea syndrome: definitions, epidemiology, and natural history. Thorax, 59(1), 73–78. https://doi.org/10.1136/thorax.59.1.73</w:t>
      </w:r>
    </w:p>
    <w:p w14:paraId="501593A5" w14:textId="77777777" w:rsidR="008174FE" w:rsidRDefault="00000000">
      <w:pPr>
        <w:spacing w:after="100"/>
        <w:ind w:left="720" w:hanging="720"/>
        <w:jc w:val="both"/>
      </w:pPr>
      <w:r>
        <w:rPr>
          <w:sz w:val="18"/>
          <w:szCs w:val="18"/>
        </w:rPr>
        <w:t>Wasserstein, R. L., &amp; Lazar, N. A. (2016). The ASA statement on p-values: context, process, and purpose. The American Statistician, 70(2), 129–133. https://doi.org/10.1080/00031305.2016.1154108</w:t>
      </w:r>
    </w:p>
    <w:p w14:paraId="66CE0D36" w14:textId="77777777" w:rsidR="008174FE" w:rsidRDefault="00000000">
      <w:pPr>
        <w:spacing w:after="100"/>
        <w:ind w:left="720" w:hanging="720"/>
        <w:jc w:val="both"/>
      </w:pPr>
      <w:r>
        <w:rPr>
          <w:sz w:val="18"/>
          <w:szCs w:val="18"/>
        </w:rPr>
        <w:t>Wellman, A., Eckert, D. J., Jordan, A. S., Edwards, B. A., Passaglia, C. L., Jackson, A. C., … &amp; White, D. P. (2011). A method for measuring and modeling the physiological traits causing obstructive sleep apnea. Journal of Applied Physiology, 110(6), 1627–1637. https://doi.org/10.1152/japplphysiol.00972.2010</w:t>
      </w:r>
    </w:p>
    <w:sectPr w:rsidR="008174FE">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869FB" w14:textId="77777777" w:rsidR="00EF721B" w:rsidRDefault="00EF721B">
      <w:r>
        <w:separator/>
      </w:r>
    </w:p>
  </w:endnote>
  <w:endnote w:type="continuationSeparator" w:id="0">
    <w:p w14:paraId="2E15E144" w14:textId="77777777" w:rsidR="00EF721B" w:rsidRDefault="00EF7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E109" w14:textId="77777777" w:rsidR="008174FE" w:rsidRDefault="00000000">
    <w:pPr>
      <w:pBdr>
        <w:top w:val="single" w:sz="4" w:space="4" w:color="D0D8E4"/>
      </w:pBdr>
      <w:tabs>
        <w:tab w:val="right" w:pos="9026"/>
      </w:tabs>
      <w:spacing w:before="60"/>
      <w:jc w:val="right"/>
    </w:pPr>
    <w:r>
      <w:rPr>
        <w:color w:val="6B7280"/>
        <w:sz w:val="16"/>
        <w:szCs w:val="16"/>
      </w:rPr>
      <w:t>Roberto Inza · Universidad Austral · 2026</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8210A3">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AD4CA" w14:textId="77777777" w:rsidR="00EF721B" w:rsidRDefault="00EF721B">
      <w:r>
        <w:separator/>
      </w:r>
    </w:p>
  </w:footnote>
  <w:footnote w:type="continuationSeparator" w:id="0">
    <w:p w14:paraId="51D41996" w14:textId="77777777" w:rsidR="00EF721B" w:rsidRDefault="00EF7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98E1" w14:textId="77777777" w:rsidR="008174FE" w:rsidRDefault="00000000">
    <w:pPr>
      <w:pBdr>
        <w:bottom w:val="single" w:sz="4" w:space="4" w:color="D0D8E4"/>
      </w:pBdr>
      <w:tabs>
        <w:tab w:val="right" w:pos="9026"/>
      </w:tabs>
      <w:spacing w:after="60"/>
    </w:pPr>
    <w:r>
      <w:rPr>
        <w:color w:val="6B7280"/>
        <w:sz w:val="16"/>
        <w:szCs w:val="16"/>
      </w:rPr>
      <w:t>Proyecto APNEA · Tesis de Maestría</w:t>
    </w:r>
    <w:r>
      <w:rPr>
        <w:sz w:val="16"/>
        <w:szCs w:val="16"/>
      </w:rPr>
      <w:tab/>
    </w:r>
    <w:r>
      <w:rPr>
        <w:i/>
        <w:iCs/>
        <w:color w:val="6B7280"/>
        <w:sz w:val="16"/>
        <w:szCs w:val="16"/>
      </w:rPr>
      <w:t>Capítulo 9 — Discusión  (v4)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00610"/>
    <w:multiLevelType w:val="hybridMultilevel"/>
    <w:tmpl w:val="6720A016"/>
    <w:lvl w:ilvl="0" w:tplc="FEEC2CCC">
      <w:start w:val="1"/>
      <w:numFmt w:val="bullet"/>
      <w:lvlText w:val="●"/>
      <w:lvlJc w:val="left"/>
      <w:pPr>
        <w:ind w:left="720" w:hanging="360"/>
      </w:pPr>
    </w:lvl>
    <w:lvl w:ilvl="1" w:tplc="DEB0BC66">
      <w:start w:val="1"/>
      <w:numFmt w:val="bullet"/>
      <w:lvlText w:val="○"/>
      <w:lvlJc w:val="left"/>
      <w:pPr>
        <w:ind w:left="1440" w:hanging="360"/>
      </w:pPr>
    </w:lvl>
    <w:lvl w:ilvl="2" w:tplc="0A9E9564">
      <w:start w:val="1"/>
      <w:numFmt w:val="bullet"/>
      <w:lvlText w:val="■"/>
      <w:lvlJc w:val="left"/>
      <w:pPr>
        <w:ind w:left="2160" w:hanging="360"/>
      </w:pPr>
    </w:lvl>
    <w:lvl w:ilvl="3" w:tplc="B2F63D26">
      <w:start w:val="1"/>
      <w:numFmt w:val="bullet"/>
      <w:lvlText w:val="●"/>
      <w:lvlJc w:val="left"/>
      <w:pPr>
        <w:ind w:left="2880" w:hanging="360"/>
      </w:pPr>
    </w:lvl>
    <w:lvl w:ilvl="4" w:tplc="259C477E">
      <w:start w:val="1"/>
      <w:numFmt w:val="bullet"/>
      <w:lvlText w:val="○"/>
      <w:lvlJc w:val="left"/>
      <w:pPr>
        <w:ind w:left="3600" w:hanging="360"/>
      </w:pPr>
    </w:lvl>
    <w:lvl w:ilvl="5" w:tplc="32CC3CCA">
      <w:start w:val="1"/>
      <w:numFmt w:val="bullet"/>
      <w:lvlText w:val="■"/>
      <w:lvlJc w:val="left"/>
      <w:pPr>
        <w:ind w:left="4320" w:hanging="360"/>
      </w:pPr>
    </w:lvl>
    <w:lvl w:ilvl="6" w:tplc="6E145322">
      <w:start w:val="1"/>
      <w:numFmt w:val="bullet"/>
      <w:lvlText w:val="●"/>
      <w:lvlJc w:val="left"/>
      <w:pPr>
        <w:ind w:left="5040" w:hanging="360"/>
      </w:pPr>
    </w:lvl>
    <w:lvl w:ilvl="7" w:tplc="9FC01C74">
      <w:start w:val="1"/>
      <w:numFmt w:val="bullet"/>
      <w:lvlText w:val="●"/>
      <w:lvlJc w:val="left"/>
      <w:pPr>
        <w:ind w:left="5760" w:hanging="360"/>
      </w:pPr>
    </w:lvl>
    <w:lvl w:ilvl="8" w:tplc="0E8C66E8">
      <w:start w:val="1"/>
      <w:numFmt w:val="bullet"/>
      <w:lvlText w:val="●"/>
      <w:lvlJc w:val="left"/>
      <w:pPr>
        <w:ind w:left="6480" w:hanging="360"/>
      </w:pPr>
    </w:lvl>
  </w:abstractNum>
  <w:num w:numId="1" w16cid:durableId="325859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4FE"/>
    <w:rsid w:val="000B4FE3"/>
    <w:rsid w:val="008174FE"/>
    <w:rsid w:val="008210A3"/>
    <w:rsid w:val="00DE0208"/>
    <w:rsid w:val="00EF721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6012203"/>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E3A5F"/>
      <w:sz w:val="28"/>
      <w:szCs w:val="28"/>
    </w:rPr>
  </w:style>
  <w:style w:type="paragraph" w:styleId="Ttulo2">
    <w:name w:val="heading 2"/>
    <w:uiPriority w:val="9"/>
    <w:unhideWhenUsed/>
    <w:qFormat/>
    <w:pPr>
      <w:spacing w:before="240" w:after="120"/>
      <w:outlineLvl w:val="1"/>
    </w:pPr>
    <w:rPr>
      <w:b/>
      <w:bCs/>
      <w:color w:val="1E3A5F"/>
      <w:sz w:val="24"/>
      <w:szCs w:val="24"/>
    </w:rPr>
  </w:style>
  <w:style w:type="paragraph" w:styleId="Ttulo3">
    <w:name w:val="heading 3"/>
    <w:uiPriority w:val="9"/>
    <w:semiHidden/>
    <w:unhideWhenUsed/>
    <w:qFormat/>
    <w:pPr>
      <w:spacing w:before="180" w:after="80"/>
      <w:outlineLvl w:val="2"/>
    </w:pPr>
    <w:rPr>
      <w:b/>
      <w:bCs/>
      <w:color w:val="1E3A5F"/>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8917</Words>
  <Characters>42001</Characters>
  <Application>Microsoft Office Word</Application>
  <DocSecurity>0</DocSecurity>
  <Lines>3230</Lines>
  <Paragraphs>2121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2026-05-28T13:52:00Z</dcterms:created>
  <dcterms:modified xsi:type="dcterms:W3CDTF">2026-05-28T14:47:00Z</dcterms:modified>
</cp:coreProperties>
</file>