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5E8F6" w14:textId="77777777" w:rsidR="00CD5F54" w:rsidRDefault="00000000">
      <w:pPr>
        <w:spacing w:after="80"/>
      </w:pPr>
      <w:r>
        <w:rPr>
          <w:b/>
          <w:bCs/>
          <w:color w:val="6B7280"/>
          <w:sz w:val="20"/>
          <w:szCs w:val="20"/>
        </w:rPr>
        <w:t>CAPÍTULO 9</w:t>
      </w:r>
    </w:p>
    <w:p w14:paraId="39470A99" w14:textId="77777777" w:rsidR="00CD5F54" w:rsidRDefault="00000000">
      <w:pPr>
        <w:spacing w:after="120"/>
      </w:pPr>
      <w:r>
        <w:rPr>
          <w:b/>
          <w:bCs/>
          <w:color w:val="1E3A5F"/>
          <w:sz w:val="36"/>
          <w:szCs w:val="36"/>
        </w:rPr>
        <w:t>Discusión</w:t>
      </w:r>
    </w:p>
    <w:p w14:paraId="756E5257" w14:textId="77777777" w:rsidR="00CD5F54" w:rsidRDefault="00000000">
      <w:pPr>
        <w:pBdr>
          <w:bottom w:val="single" w:sz="4" w:space="8" w:color="D0D8E4"/>
        </w:pBdr>
        <w:spacing w:after="400"/>
      </w:pPr>
      <w:r>
        <w:rPr>
          <w:color w:val="6B7280"/>
          <w:sz w:val="18"/>
          <w:szCs w:val="18"/>
        </w:rPr>
        <w:t>Versión 5  ·  Mayo 2026</w:t>
      </w:r>
    </w:p>
    <w:p w14:paraId="2459CDBE" w14:textId="77777777" w:rsidR="00CD5F54" w:rsidRDefault="00CD5F54">
      <w:pPr>
        <w:spacing w:after="160"/>
      </w:pPr>
    </w:p>
    <w:p w14:paraId="6138568C" w14:textId="0DE4DC3F" w:rsidR="005674E9" w:rsidRPr="007466BA" w:rsidRDefault="007466BA" w:rsidP="007466BA">
      <w:pPr>
        <w:spacing w:line="276" w:lineRule="auto"/>
        <w:jc w:val="both"/>
      </w:pPr>
      <w:r w:rsidRPr="007466BA">
        <w:t>Analizar la fisiología nocturna del síndrome de apneas obstructivas del sueño (</w:t>
      </w:r>
      <w:r w:rsidRPr="00940D97">
        <w:rPr>
          <w:b/>
          <w:bCs/>
        </w:rPr>
        <w:t>SAOS</w:t>
      </w:r>
      <w:r w:rsidRPr="007466BA">
        <w:t>) desde un único sensor portátil plantea dos problemas simultáneos: de representación, porque es necesario extraer información compacta e interpretable de millones de muestras de saturación periférica de oxígeno (</w:t>
      </w:r>
      <w:r w:rsidRPr="00940D97">
        <w:rPr>
          <w:b/>
          <w:bCs/>
        </w:rPr>
        <w:t>SpO</w:t>
      </w:r>
      <w:r w:rsidRPr="00940D97">
        <w:rPr>
          <w:rFonts w:ascii="Cambria Math" w:hAnsi="Cambria Math" w:cs="Cambria Math"/>
          <w:b/>
          <w:bCs/>
        </w:rPr>
        <w:t>₂</w:t>
      </w:r>
      <w:r w:rsidRPr="007466BA">
        <w:t>), frecuencia cardíaca (</w:t>
      </w:r>
      <w:r w:rsidRPr="00940D97">
        <w:rPr>
          <w:b/>
          <w:bCs/>
        </w:rPr>
        <w:t>FC</w:t>
      </w:r>
      <w:r w:rsidRPr="007466BA">
        <w:t>) y movimiento sin perder la estructura que distingue pacientes y noches; y de escala, porque esas representaciones deben ser válidas sobre una cohorte con alta variabilidad intraindividual y sin polisomnografía de referencia. El Proyecto de Procesamiento Autonómico Continuo (</w:t>
      </w:r>
      <w:r w:rsidRPr="00940D97">
        <w:rPr>
          <w:b/>
          <w:bCs/>
        </w:rPr>
        <w:t>Proyecto PAC</w:t>
      </w:r>
      <w:r w:rsidRPr="007466BA">
        <w:t>) construye una respuesta en cinco niveles: fenotipado morfológico de cada evento de desaturación de oxígeno (</w:t>
      </w:r>
      <w:r w:rsidRPr="00940D97">
        <w:rPr>
          <w:b/>
          <w:bCs/>
        </w:rPr>
        <w:t>EDO</w:t>
      </w:r>
      <w:r w:rsidRPr="007466BA">
        <w:t>),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14:paraId="3C80BD21" w14:textId="77777777" w:rsidR="007466BA" w:rsidRDefault="007466BA" w:rsidP="005674E9"/>
    <w:p w14:paraId="5FE52C41" w14:textId="596A657F" w:rsidR="00CD5F54" w:rsidRDefault="00000000" w:rsidP="005674E9">
      <w:pPr>
        <w:spacing w:after="240"/>
      </w:pPr>
      <w:r>
        <w:rPr>
          <w:b/>
          <w:bCs/>
          <w:color w:val="1E3A5F"/>
          <w:sz w:val="28"/>
          <w:szCs w:val="28"/>
        </w:rPr>
        <w:t>9.1  Índices de evento e índices agregados nocturnos: el problema de la reducción escalar en el SAOS</w:t>
      </w:r>
    </w:p>
    <w:p w14:paraId="661B4B11" w14:textId="77777777" w:rsidR="00D24D5B" w:rsidRPr="00B76DC0" w:rsidRDefault="00D24D5B">
      <w:pPr>
        <w:spacing w:after="160" w:line="276" w:lineRule="auto"/>
        <w:jc w:val="both"/>
      </w:pPr>
      <w:r w:rsidRPr="00B76DC0">
        <w:t>El SAOS se manifiesta durante el sueño como una sucesión de eventos respiratorios individuales: apneas, hipopneas, desaturaciones (Berry et al., 2012). Cada evento tiene propiedades elementales (profundidad de la caída de SpO</w:t>
      </w:r>
      <w:r w:rsidRPr="00B76DC0">
        <w:rPr>
          <w:rFonts w:ascii="Cambria Math" w:hAnsi="Cambria Math" w:cs="Cambria Math"/>
        </w:rPr>
        <w:t>₂</w:t>
      </w:r>
      <w:r w:rsidRPr="00B76DC0">
        <w:t>,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14:paraId="19894AEB" w14:textId="77777777" w:rsidR="005D41EF" w:rsidRPr="005D41EF" w:rsidRDefault="005D41EF" w:rsidP="005D41EF">
      <w:pPr>
        <w:pStyle w:val="Ttulo2"/>
        <w:spacing w:line="276" w:lineRule="auto"/>
        <w:jc w:val="both"/>
        <w:rPr>
          <w:b w:val="0"/>
          <w:bCs w:val="0"/>
          <w:color w:val="auto"/>
          <w:sz w:val="22"/>
          <w:szCs w:val="22"/>
        </w:rPr>
      </w:pPr>
      <w:r w:rsidRPr="005D41EF">
        <w:rPr>
          <w:b w:val="0"/>
          <w:bCs w:val="0"/>
          <w:color w:val="auto"/>
          <w:sz w:val="22"/>
          <w:szCs w:val="22"/>
        </w:rPr>
        <w:t>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14:paraId="1967E439" w14:textId="336A8BFD" w:rsidR="00CD5F54" w:rsidRDefault="00000000">
      <w:pPr>
        <w:pStyle w:val="Ttulo2"/>
      </w:pPr>
      <w:r>
        <w:t>9.1.1  El AHI y el ODI3: estándar clínico y subrogante oxiométrico</w:t>
      </w:r>
    </w:p>
    <w:p w14:paraId="141605D2" w14:textId="77777777" w:rsidR="00DF7C51" w:rsidRDefault="00DF7C51" w:rsidP="00DF7C51">
      <w:r>
        <w:rPr>
          <w:rStyle w:val="transition-all"/>
          <w:sz w:val="30"/>
          <w:szCs w:val="30"/>
        </w:rPr>
        <w:t></w:t>
      </w:r>
      <w:r>
        <w:rPr>
          <w:rStyle w:val="absolute"/>
          <w:sz w:val="30"/>
          <w:szCs w:val="30"/>
        </w:rPr>
        <w:t></w:t>
      </w:r>
      <w:r>
        <w:rPr>
          <w:rStyle w:val="inline-flex"/>
          <w:sz w:val="30"/>
          <w:szCs w:val="30"/>
        </w:rPr>
        <w:t></w:t>
      </w:r>
    </w:p>
    <w:p w14:paraId="41AB1AF3" w14:textId="2E87AD17" w:rsidR="00CD5F54" w:rsidRPr="00DF7C51" w:rsidRDefault="00DF7C51" w:rsidP="00DF7C51">
      <w:pPr>
        <w:pStyle w:val="font-claude-response-body"/>
        <w:spacing w:line="276" w:lineRule="auto"/>
        <w:jc w:val="both"/>
        <w:rPr>
          <w:rFonts w:ascii="Arial" w:hAnsi="Arial" w:cs="Arial"/>
          <w:sz w:val="22"/>
          <w:szCs w:val="22"/>
        </w:rPr>
      </w:pPr>
      <w:r w:rsidRPr="00DF7C51">
        <w:rPr>
          <w:rFonts w:ascii="Arial" w:hAnsi="Arial" w:cs="Arial"/>
          <w:sz w:val="22"/>
          <w:szCs w:val="22"/>
        </w:rPr>
        <w:lastRenderedPageBreak/>
        <w:t>El índice apnea-hipopnea (</w:t>
      </w:r>
      <w:r w:rsidRPr="00DF7C51">
        <w:rPr>
          <w:rFonts w:ascii="Arial" w:hAnsi="Arial" w:cs="Arial"/>
          <w:b/>
          <w:bCs/>
          <w:sz w:val="22"/>
          <w:szCs w:val="22"/>
        </w:rPr>
        <w:t>AHI</w:t>
      </w:r>
      <w:r w:rsidRPr="00DF7C51">
        <w:rPr>
          <w:rFonts w:ascii="Arial" w:hAnsi="Arial" w:cs="Arial"/>
          <w:sz w:val="22"/>
          <w:szCs w:val="22"/>
        </w:rPr>
        <w:t xml:space="preserve">, del inglés </w:t>
      </w:r>
      <w:r w:rsidRPr="00DF7C51">
        <w:rPr>
          <w:rStyle w:val="nfasis"/>
          <w:rFonts w:ascii="Arial" w:hAnsi="Arial" w:cs="Arial"/>
          <w:sz w:val="22"/>
          <w:szCs w:val="22"/>
        </w:rPr>
        <w:t>Apnea-Hypopnea Index</w:t>
      </w:r>
      <w:r w:rsidRPr="00DF7C51">
        <w:rPr>
          <w:rFonts w:ascii="Arial" w:hAnsi="Arial" w:cs="Arial"/>
          <w:sz w:val="22"/>
          <w:szCs w:val="22"/>
        </w:rPr>
        <w:t>) es el índice de referencia clínica del SAOS: número de apneas e hipopneas por hora de sueño, calculado sobre señales de flujo oronasal, esfuerzo respiratorio y SpO</w:t>
      </w:r>
      <w:r w:rsidRPr="00DF7C51">
        <w:rPr>
          <w:rFonts w:ascii="Cambria Math" w:hAnsi="Cambria Math" w:cs="Cambria Math"/>
          <w:sz w:val="22"/>
          <w:szCs w:val="22"/>
        </w:rPr>
        <w:t>₂</w:t>
      </w:r>
      <w:r w:rsidRPr="00DF7C51">
        <w:rPr>
          <w:rFonts w:ascii="Arial" w:hAnsi="Arial" w:cs="Arial"/>
          <w:sz w:val="22"/>
          <w:szCs w:val="22"/>
        </w:rPr>
        <w:t xml:space="preserve"> en polisomnografía (</w:t>
      </w:r>
      <w:r w:rsidRPr="00DF7C51">
        <w:rPr>
          <w:rFonts w:ascii="Arial" w:hAnsi="Arial" w:cs="Arial"/>
          <w:b/>
          <w:bCs/>
          <w:sz w:val="22"/>
          <w:szCs w:val="22"/>
        </w:rPr>
        <w:t>PSG</w:t>
      </w:r>
      <w:r w:rsidRPr="00DF7C51">
        <w:rPr>
          <w:rFonts w:ascii="Arial" w:hAnsi="Arial" w:cs="Arial"/>
          <w:sz w:val="22"/>
          <w:szCs w:val="22"/>
        </w:rPr>
        <w:t>) completa (Berry et al., 2012). Los umbrales definidos por la Academia Americana de Medicina del Sueño (</w:t>
      </w:r>
      <w:r w:rsidRPr="00DF7C51">
        <w:rPr>
          <w:rFonts w:ascii="Arial" w:hAnsi="Arial" w:cs="Arial"/>
          <w:b/>
          <w:bCs/>
          <w:sz w:val="22"/>
          <w:szCs w:val="22"/>
        </w:rPr>
        <w:t>AASM</w:t>
      </w:r>
      <w:r w:rsidRPr="00DF7C51">
        <w:rPr>
          <w:rFonts w:ascii="Arial" w:hAnsi="Arial" w:cs="Arial"/>
          <w:sz w:val="22"/>
          <w:szCs w:val="22"/>
        </w:rPr>
        <w:t>)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14:paraId="52FE9F28" w14:textId="77777777" w:rsidR="00AE3188" w:rsidRPr="00AE3188" w:rsidRDefault="00AE3188" w:rsidP="00AE3188">
      <w:pPr>
        <w:pStyle w:val="font-claude-response-body"/>
        <w:spacing w:line="276" w:lineRule="auto"/>
        <w:jc w:val="both"/>
        <w:rPr>
          <w:rFonts w:ascii="Arial" w:hAnsi="Arial" w:cs="Arial"/>
          <w:sz w:val="22"/>
          <w:szCs w:val="22"/>
        </w:rPr>
      </w:pPr>
      <w:r w:rsidRPr="00AE3188">
        <w:rPr>
          <w:rFonts w:ascii="Arial" w:hAnsi="Arial" w:cs="Arial"/>
          <w:sz w:val="22"/>
          <w:szCs w:val="22"/>
        </w:rPr>
        <w:t>El índice de desaturación de oxígeno (</w:t>
      </w:r>
      <w:r w:rsidRPr="00AE3188">
        <w:rPr>
          <w:rFonts w:ascii="Arial" w:hAnsi="Arial" w:cs="Arial"/>
          <w:b/>
          <w:bCs/>
          <w:sz w:val="22"/>
          <w:szCs w:val="22"/>
        </w:rPr>
        <w:t>ODI3</w:t>
      </w:r>
      <w:r w:rsidRPr="00AE3188">
        <w:rPr>
          <w:rFonts w:ascii="Arial" w:hAnsi="Arial" w:cs="Arial"/>
          <w:sz w:val="22"/>
          <w:szCs w:val="22"/>
        </w:rPr>
        <w:t>, umbral ≥ 3 pp) es el subrogante del AHI más utilizado en dispositivos domiciliarios: cuenta las desaturaciones de SpO</w:t>
      </w:r>
      <w:r w:rsidRPr="00AE3188">
        <w:rPr>
          <w:rFonts w:ascii="Cambria Math" w:hAnsi="Cambria Math" w:cs="Cambria Math"/>
          <w:sz w:val="22"/>
          <w:szCs w:val="22"/>
        </w:rPr>
        <w:t>₂</w:t>
      </w:r>
      <w:r w:rsidRPr="00AE3188">
        <w:rPr>
          <w:rFonts w:ascii="Arial" w:hAnsi="Arial" w:cs="Arial"/>
          <w:sz w:val="22"/>
          <w:szCs w:val="22"/>
        </w:rPr>
        <w:t xml:space="preserve">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14:paraId="0D2C9262" w14:textId="77777777" w:rsidR="00AE3188" w:rsidRPr="00AE3188" w:rsidRDefault="00AE3188" w:rsidP="00AE3188">
      <w:pPr>
        <w:pStyle w:val="font-claude-response-body"/>
        <w:spacing w:line="276" w:lineRule="auto"/>
        <w:jc w:val="both"/>
        <w:rPr>
          <w:rFonts w:ascii="Arial" w:hAnsi="Arial" w:cs="Arial"/>
          <w:sz w:val="22"/>
          <w:szCs w:val="22"/>
        </w:rPr>
      </w:pPr>
      <w:r w:rsidRPr="00AE3188">
        <w:rPr>
          <w:rFonts w:ascii="Arial" w:hAnsi="Arial" w:cs="Arial"/>
          <w:sz w:val="22"/>
          <w:szCs w:val="22"/>
        </w:rPr>
        <w:t>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14:paraId="7756F63D" w14:textId="77777777" w:rsidR="00CD5F54" w:rsidRDefault="00000000">
      <w:pPr>
        <w:pStyle w:val="Ttulo2"/>
      </w:pPr>
      <w:r>
        <w:t>9.1.2  Más allá de la frecuencia: T90 y la carga hipóxica nocturna</w:t>
      </w:r>
    </w:p>
    <w:p w14:paraId="5E317E3D" w14:textId="663F90D9" w:rsidR="00CD5F54" w:rsidRDefault="00000000">
      <w:pPr>
        <w:spacing w:after="160" w:line="276" w:lineRule="auto"/>
        <w:jc w:val="both"/>
      </w:pPr>
      <w:r>
        <w:t xml:space="preserve">El </w:t>
      </w:r>
      <w:r w:rsidRPr="009B4C4A">
        <w:rPr>
          <w:b/>
          <w:bCs/>
        </w:rPr>
        <w:t>T90</w:t>
      </w:r>
      <w:r>
        <w:t xml:space="preserve"> (fracción del tiempo de sueño con SpO₂ &lt; 90 %) y la carga hipóxica (</w:t>
      </w:r>
      <w:r w:rsidRPr="009B4C4A">
        <w:rPr>
          <w:i/>
          <w:iCs/>
        </w:rPr>
        <w:t>hypoxic burden</w:t>
      </w:r>
      <w:r>
        <w:t>: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14:paraId="2BC4E292" w14:textId="77777777" w:rsidR="00CD5F54" w:rsidRDefault="00000000">
      <w:pPr>
        <w:pStyle w:val="Ttulo2"/>
      </w:pPr>
      <w:r>
        <w:lastRenderedPageBreak/>
        <w:t>9.1.3  La propuesta PAC: enriquecer los índices sin reemplazarlos</w:t>
      </w:r>
    </w:p>
    <w:p w14:paraId="65DF291A" w14:textId="77777777" w:rsidR="00CA79A5" w:rsidRPr="00CA79A5" w:rsidRDefault="00CA79A5" w:rsidP="00CA79A5">
      <w:pPr>
        <w:pStyle w:val="font-claude-response-body"/>
        <w:spacing w:line="276" w:lineRule="auto"/>
        <w:jc w:val="both"/>
        <w:rPr>
          <w:rFonts w:ascii="Arial" w:hAnsi="Arial" w:cs="Arial"/>
          <w:sz w:val="22"/>
          <w:szCs w:val="22"/>
        </w:rPr>
      </w:pPr>
      <w:r w:rsidRPr="00CA79A5">
        <w:rPr>
          <w:rFonts w:ascii="Arial" w:hAnsi="Arial" w:cs="Arial"/>
          <w:sz w:val="22"/>
          <w:szCs w:val="22"/>
        </w:rPr>
        <w:t>El pipeline PAC_v3 no compite con el AHI ni con el ODI3: los calcula, los usa como referencia de severidad y los valida. Lo que añade es la dimensión estructural que esos índices suprimen. A nivel de evento: el fenotipado morfológico captura la forma de la curva SpO</w:t>
      </w:r>
      <w:r w:rsidRPr="00CA79A5">
        <w:rPr>
          <w:rFonts w:ascii="Cambria Math" w:hAnsi="Cambria Math" w:cs="Cambria Math"/>
          <w:sz w:val="22"/>
          <w:szCs w:val="22"/>
        </w:rPr>
        <w:t>₂</w:t>
      </w:r>
      <w:r w:rsidRPr="00CA79A5">
        <w:rPr>
          <w:rFonts w:ascii="Arial" w:hAnsi="Arial" w:cs="Arial"/>
          <w:sz w:val="22"/>
          <w:szCs w:val="22"/>
        </w:rPr>
        <w:t>, información que está presente en la señal pero que ningún índice convencional preserva. La baseline móvil de 120 s adoptada en la detección de EDOs es una decisión metodológica relevante en este sentido: al normalizarse respecto al nivel local de SpO</w:t>
      </w:r>
      <w:r w:rsidRPr="00CA79A5">
        <w:rPr>
          <w:rFonts w:ascii="Cambria Math" w:hAnsi="Cambria Math" w:cs="Cambria Math"/>
          <w:sz w:val="22"/>
          <w:szCs w:val="22"/>
        </w:rPr>
        <w:t>₂</w:t>
      </w:r>
      <w:r w:rsidRPr="00CA79A5">
        <w:rPr>
          <w:rFonts w:ascii="Arial" w:hAnsi="Arial" w:cs="Arial"/>
          <w:sz w:val="22"/>
          <w:szCs w:val="22"/>
        </w:rPr>
        <w:t xml:space="preserve">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14:paraId="70F54E23" w14:textId="34A7907B" w:rsidR="000E63C5" w:rsidRPr="000E63C5" w:rsidRDefault="000E63C5" w:rsidP="000E63C5">
      <w:pPr>
        <w:pStyle w:val="NormalWeb"/>
        <w:spacing w:line="276" w:lineRule="auto"/>
        <w:jc w:val="both"/>
        <w:rPr>
          <w:rFonts w:ascii="Arial" w:hAnsi="Arial" w:cs="Arial"/>
          <w:sz w:val="22"/>
          <w:szCs w:val="22"/>
        </w:rPr>
      </w:pPr>
      <w:r w:rsidRPr="000E63C5">
        <w:rPr>
          <w:rFonts w:ascii="Arial" w:hAnsi="Arial" w:cs="Arial"/>
          <w:sz w:val="22"/>
          <w:szCs w:val="22"/>
        </w:rPr>
        <w:t>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w:t>
      </w:r>
      <w:r w:rsidRPr="000E63C5">
        <w:rPr>
          <w:rFonts w:ascii="Cambria Math" w:hAnsi="Cambria Math" w:cs="Cambria Math"/>
          <w:sz w:val="22"/>
          <w:szCs w:val="22"/>
        </w:rPr>
        <w:t>₂</w:t>
      </w:r>
      <w:r w:rsidRPr="000E63C5">
        <w:rPr>
          <w:rFonts w:ascii="Arial" w:hAnsi="Arial" w:cs="Arial"/>
          <w:sz w:val="22"/>
          <w:szCs w:val="22"/>
        </w:rPr>
        <w:t xml:space="preserve"> (profundidad, duración, área) para clasificación supervisada de </w:t>
      </w:r>
      <w:r w:rsidR="00F53D53">
        <w:rPr>
          <w:rFonts w:ascii="Arial" w:hAnsi="Arial" w:cs="Arial"/>
          <w:sz w:val="22"/>
          <w:szCs w:val="22"/>
        </w:rPr>
        <w:t>SAOS</w:t>
      </w:r>
      <w:r w:rsidRPr="000E63C5">
        <w:rPr>
          <w:rFonts w:ascii="Arial" w:hAnsi="Arial" w:cs="Arial"/>
          <w:sz w:val="22"/>
          <w:szCs w:val="22"/>
        </w:rPr>
        <w:t>, sin abordar el espacio morfológico de la curva completa ni construir representaciones dinámicas multinoche.</w:t>
      </w:r>
    </w:p>
    <w:p w14:paraId="37C4E254" w14:textId="24CD3EF7" w:rsidR="00CD5F54" w:rsidRDefault="00000000" w:rsidP="000E63C5">
      <w:pPr>
        <w:pStyle w:val="font-claude-response-body"/>
        <w:spacing w:line="276" w:lineRule="auto"/>
        <w:jc w:val="both"/>
      </w:pPr>
      <w:r>
        <w:rPr>
          <w:rFonts w:ascii="Arial" w:eastAsia="Arial" w:hAnsi="Arial" w:cs="Arial"/>
          <w:b/>
          <w:bCs/>
          <w:color w:val="1E3A5F"/>
          <w:sz w:val="28"/>
          <w:szCs w:val="28"/>
        </w:rPr>
        <w:t>9.2  Fenotipado morfológico de EDOs: morfotipos C1–C5 y el ARI en perspectiva</w:t>
      </w:r>
    </w:p>
    <w:p w14:paraId="172B9140" w14:textId="77777777" w:rsidR="00CD5F54" w:rsidRDefault="00000000">
      <w:pPr>
        <w:pStyle w:val="Ttulo2"/>
      </w:pPr>
      <w:r>
        <w:t>9.2.1  Los morfotipos de curvas SpO₂ frente a la literatura</w:t>
      </w:r>
    </w:p>
    <w:p w14:paraId="7D700AD4" w14:textId="3316F344" w:rsidR="00CD5F54" w:rsidRDefault="00000000">
      <w:pPr>
        <w:spacing w:after="160" w:line="276" w:lineRule="auto"/>
        <w:jc w:val="both"/>
      </w:pPr>
      <w:r>
        <w:t xml:space="preserve">El fenotipado morfológico de eventos individuales de desaturación mediante métodos no supervisados sobre la curva de SpO₂ no tiene precedente directo en la literatura a la escala que el Proyecto </w:t>
      </w:r>
      <w:r w:rsidR="00360A96">
        <w:t>PAC</w:t>
      </w:r>
      <w:r>
        <w:t xml:space="preserve"> propone. Los trabajos más cercanos operan sobre índices agregados por noche (T90, ODI) o sobre características univariadas de los eventos (duración, profundidad), pero no sobre la forma completa de la curva normalizada como objeto de clustering. El enfoque adoptado en el </w:t>
      </w:r>
      <w:r w:rsidR="00CA79A5">
        <w:t>PAC_v3</w:t>
      </w:r>
      <w:r>
        <w:t xml:space="preserve"> —PCA sobre 30 puntos de curva normalizados seguido de K-means con K = 5— es metodológicamente análogo a las técnicas de fenotipado morfológico en señales de ECG (Clifton et al., 2015) y en curvas de flujo respiratorio de PSG, pero aplicado a una escala de corpus (84.248 eventos) que excede la de cualquier estudio previo en oximetría nocturna portátil.</w:t>
      </w:r>
    </w:p>
    <w:p w14:paraId="4E5C6B43" w14:textId="77777777" w:rsidR="00CD5F54" w:rsidRDefault="00000000">
      <w:pPr>
        <w:spacing w:after="160" w:line="276" w:lineRule="auto"/>
        <w:jc w:val="both"/>
      </w:pPr>
      <w:r>
        <w:t xml:space="preserve">Los cinco morfotipos C1–C5 emergen con una estructura interpretable: el eje de la primera componente principal (PC1 = 62,9 % de la varianza explicada) captura fundamentalmente la profundidad de la caída de SpO₂, y el gradiente C1 → C5 representa un espectro de severidad creciente. Los morfotipos C4 y C5 —que concentran el 6,1 % de los eventos pero la fracción más alta de carga hipóxica por evento— corresponden a lo que la literatura </w:t>
      </w:r>
      <w:r>
        <w:lastRenderedPageBreak/>
        <w:t>clínica denomina apneas obstructivas prolongadas con desaturación severa. La consistencia del morfotipo dentro de un mismo paciente a lo largo de las noches (ICC inter-noche moderado) sugiere que los morfotipos capturan un rasgo relativamente estable de la fisiopatología individual, no un artefacto de la variabilidad nocturna. Este resultado es coherente con la observación de Eckert et al. (2013) de que los pacientes con SAOS difieren en sus mecanismos fisiopatológicos dominantes de forma relativamente consistente entre noches y sesiones.</w:t>
      </w:r>
    </w:p>
    <w:p w14:paraId="506AC652" w14:textId="7ED95546" w:rsidR="00360A96" w:rsidRPr="00360A96" w:rsidRDefault="00360A96" w:rsidP="00360A96">
      <w:pPr>
        <w:pStyle w:val="Ttulo2"/>
        <w:spacing w:line="276" w:lineRule="auto"/>
        <w:jc w:val="both"/>
        <w:rPr>
          <w:b w:val="0"/>
          <w:bCs w:val="0"/>
          <w:color w:val="auto"/>
          <w:sz w:val="22"/>
          <w:szCs w:val="22"/>
        </w:rPr>
      </w:pPr>
      <w:r w:rsidRPr="00360A96">
        <w:rPr>
          <w:b w:val="0"/>
          <w:bCs w:val="0"/>
          <w:color w:val="auto"/>
          <w:sz w:val="22"/>
          <w:szCs w:val="22"/>
        </w:rPr>
        <w:t xml:space="preserve">La distribución del </w:t>
      </w:r>
      <w:r>
        <w:rPr>
          <w:b w:val="0"/>
          <w:bCs w:val="0"/>
          <w:color w:val="auto"/>
          <w:sz w:val="22"/>
          <w:szCs w:val="22"/>
        </w:rPr>
        <w:t>intervalo inter-eventos (</w:t>
      </w:r>
      <w:r w:rsidRPr="00360A96">
        <w:rPr>
          <w:color w:val="auto"/>
          <w:sz w:val="22"/>
          <w:szCs w:val="22"/>
        </w:rPr>
        <w:t>IEI</w:t>
      </w:r>
      <w:r>
        <w:rPr>
          <w:b w:val="0"/>
          <w:bCs w:val="0"/>
          <w:color w:val="auto"/>
          <w:sz w:val="22"/>
          <w:szCs w:val="22"/>
        </w:rPr>
        <w:t>)</w:t>
      </w:r>
      <w:r w:rsidRPr="00360A96">
        <w:rPr>
          <w:b w:val="0"/>
          <w:bCs w:val="0"/>
          <w:color w:val="auto"/>
          <w:sz w:val="22"/>
          <w:szCs w:val="22"/>
        </w:rPr>
        <w:t xml:space="preserve">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14:paraId="723B25CE" w14:textId="4AA25384" w:rsidR="00CD5F54" w:rsidRDefault="00000000">
      <w:pPr>
        <w:pStyle w:val="Ttulo2"/>
      </w:pPr>
      <w:r>
        <w:t>9.2.2  El ARI: una dimensión ortogonal a la severidad hipóxica</w:t>
      </w:r>
    </w:p>
    <w:p w14:paraId="62265488" w14:textId="06157855" w:rsidR="00CD5F54" w:rsidRDefault="00000000">
      <w:pPr>
        <w:spacing w:after="160" w:line="276" w:lineRule="auto"/>
        <w:jc w:val="both"/>
      </w:pPr>
      <w:r>
        <w:t>El Índice de Reactividad Autonómica (</w:t>
      </w:r>
      <w:r w:rsidRPr="003F2420">
        <w:rPr>
          <w:b/>
          <w:bCs/>
        </w:rPr>
        <w:t>ARI</w:t>
      </w:r>
      <w:r>
        <w:t xml:space="preserve">) es la contribución metodológica más original del </w:t>
      </w:r>
      <w:r w:rsidR="003F2420">
        <w:t>Proyecto PAC</w:t>
      </w:r>
      <w:r>
        <w:t>.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14:paraId="7385D99E" w14:textId="77777777" w:rsidR="00CD5F54" w:rsidRDefault="00000000">
      <w:pPr>
        <w:spacing w:after="160" w:line="276" w:lineRule="auto"/>
        <w:jc w:val="both"/>
      </w:pPr>
      <w:r>
        <w:t>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14:paraId="70FA7808" w14:textId="77777777" w:rsidR="00CD5F54" w:rsidRDefault="00000000">
      <w:pPr>
        <w:spacing w:after="160" w:line="276" w:lineRule="auto"/>
        <w:jc w:val="both"/>
      </w:pPr>
      <w: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w:t>
      </w:r>
      <w:r>
        <w:lastRenderedPageBreak/>
        <w:t>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14:paraId="53DBD1DA" w14:textId="02BF1FE1" w:rsidR="00CD5F54" w:rsidRDefault="00000000">
      <w:pPr>
        <w:spacing w:after="160" w:line="276" w:lineRule="auto"/>
        <w:jc w:val="both"/>
      </w:pPr>
      <w:r>
        <w:t xml:space="preserve">El </w:t>
      </w:r>
      <w:r w:rsidR="008954B5">
        <w:t>coeficiente de correlación interclase (</w:t>
      </w:r>
      <w:r>
        <w:t>ICC</w:t>
      </w:r>
      <w:r w:rsidR="008954B5">
        <w:t>[</w:t>
      </w:r>
      <w:r>
        <w:t>1,1</w:t>
      </w:r>
      <w:r w:rsidR="008954B5">
        <w:t>])</w:t>
      </w:r>
      <w:r>
        <w:t xml:space="preserve">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14:paraId="330E7748" w14:textId="77777777" w:rsidR="00CD5F54" w:rsidRDefault="00000000">
      <w:pPr>
        <w:pStyle w:val="Ttulo1"/>
        <w:pBdr>
          <w:bottom w:val="single" w:sz="4" w:space="4" w:color="D0D8E4"/>
        </w:pBdr>
      </w:pPr>
      <w:r>
        <w:t>9.3  PAC States: la fisiología nocturna como sistema dinámico multiescala</w:t>
      </w:r>
    </w:p>
    <w:p w14:paraId="4D02CBE3" w14:textId="77777777" w:rsidR="00CD5F54" w:rsidRDefault="00000000">
      <w:pPr>
        <w:pStyle w:val="Ttulo2"/>
      </w:pPr>
      <w:r>
        <w:t>9.3.1  Representación del sueño como secuencia de estados</w:t>
      </w:r>
    </w:p>
    <w:p w14:paraId="7F54AF48" w14:textId="77777777" w:rsidR="00CD5F54" w:rsidRDefault="00000000">
      <w:pPr>
        <w:spacing w:after="160" w:line="276" w:lineRule="auto"/>
        <w:jc w:val="both"/>
      </w:pPr>
      <w:r>
        <w:t>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14:paraId="6ED56BF8" w14:textId="77777777" w:rsidR="00CD5F54" w:rsidRDefault="00000000">
      <w:pPr>
        <w:spacing w:after="160" w:line="276" w:lineRule="auto"/>
        <w:jc w:val="both"/>
      </w:pPr>
      <w:r>
        <w:t>La elección del número de estados por escala —K = 7 para escala S, K = 5 para M, K = 4 para L— fue guiada por criterios de silhouette y estabilidad entre inicializaciones, no por analogía con la taxonomía de estadios del sueño de la AASM. El resultado es que los estados PAC no se mapean directamente a los estadios clásicos (N1, N2, N3, REM), pero sí correlacionan con índices de severidad de manera diferencial: S4 con ODI3 (ρ = +0,690), M1 con T90 (ρ = +0,744), L0 con T90 (ρ = +0,705). Esta especialización funcional sugiere que los estados PAC capturan dimensiones de la fisiología nocturna que los estadios del sueño convencionales no sintetizan, porque los estadios AASM fueron definidos con criterios de actividad cortical, no de severidad hipóxica o reactividad autonómica.</w:t>
      </w:r>
    </w:p>
    <w:p w14:paraId="0C9BEAE1" w14:textId="70E278B8" w:rsidR="00CD5F54" w:rsidRDefault="00000000">
      <w:pPr>
        <w:pStyle w:val="Ttulo2"/>
      </w:pPr>
      <w:r>
        <w:t xml:space="preserve">9.3.2  Especialización funcional: el hallazgo central del </w:t>
      </w:r>
      <w:r w:rsidR="00B10260">
        <w:t>Análisis de Estados PAC</w:t>
      </w:r>
    </w:p>
    <w:p w14:paraId="548E6EDD" w14:textId="6C39FD15" w:rsidR="00CD5F54" w:rsidRDefault="00000000">
      <w:pPr>
        <w:spacing w:after="160" w:line="276" w:lineRule="auto"/>
        <w:jc w:val="both"/>
      </w:pPr>
      <w:r>
        <w:lastRenderedPageBreak/>
        <w:t xml:space="preserve">El hallazgo de especialización funcional entre las tres escalas temporales —cada escala predice una dimensión diferente de la severidad nocturna— es el resultado de mayor originalidad del </w:t>
      </w:r>
      <w:r w:rsidR="00C1434C">
        <w:t>PAC_v3</w:t>
      </w:r>
      <w:r>
        <w:t xml:space="preserve">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14:paraId="773FE5CE" w14:textId="77777777" w:rsidR="00CD5F54" w:rsidRDefault="00000000">
      <w:pPr>
        <w:spacing w:after="160" w:line="276" w:lineRule="auto"/>
        <w:jc w:val="both"/>
      </w:pPr>
      <w:r>
        <w:t>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24 features PAC (21 fracciones de estados más 3 entropías de transición) captura esa estructura de manera compacta, sin requerir anotación manual de eventos ni clasificación de estadios de sueño.</w:t>
      </w:r>
    </w:p>
    <w:p w14:paraId="696001A6" w14:textId="77777777" w:rsidR="00CD5F54" w:rsidRDefault="00000000">
      <w:pPr>
        <w:spacing w:after="160" w:line="276" w:lineRule="auto"/>
        <w:jc w:val="both"/>
      </w:pPr>
      <w:r>
        <w:t>Una dimensión adicional del vector de features PAC que merece discusión interpretativa es la entropía de distribución de estados por escala. Las noches de alta carga hipóxica exhiben, en promedio, menor entropía que las noches sin carga: el sistema fisiológico adopta un patrón más estereotipado y predecible, concentrando el tiempo en un subconjunto reducido de estados (M1 en escala M, L0 en escala L). Esta asociación entre baja entropía y alta severidad es coherente con la literatura sobre reducción de la variabilidad de la frecuencia cardíaca en SAOS severo (Narkiewicz &amp; Somers, 2003), donde la hipoxemia recurrente se asocia a menor flexibilidad adaptativa del sistema autonómico. El número de transiciones entre estados —tercera familia de features PAC— complementa la entropía capturando la fragmentación dinámica de la noche independientemente de cuáles estados dominan.</w:t>
      </w:r>
    </w:p>
    <w:p w14:paraId="232C3A36" w14:textId="27B4D362" w:rsidR="00CD5F54" w:rsidRDefault="00000000">
      <w:pPr>
        <w:spacing w:after="160" w:line="276" w:lineRule="auto"/>
        <w:jc w:val="both"/>
      </w:pPr>
      <w:r>
        <w:t xml:space="preserve">El clustering nocturno multiescala (K = 3) aporta un hallazgo adicional relevante para la comprensión del ARI: los tres fenotipos nocturnos identificados —baja severidad, severidad moderada y alta carga hipóxica— se diferencian claramente en las fracciones de estados M y L y en los índices de severidad clínica, pero presentan valores de ARI prácticamente idénticos entre clusters. Este resultado confirma, a nivel de noche completa, el hallazgo de nivel de evento discutido en §9.2.2: la reactividad autonómica no es función de la carga hipóxica acumulada durante la noche, sino una propiedad del sistema cardiovascular del paciente que se expresa de forma transversal a través de todo el perfil nocturno. </w:t>
      </w:r>
      <w:r w:rsidR="00C1434C">
        <w:t xml:space="preserve">Estados </w:t>
      </w:r>
      <w:r>
        <w:t>PAC captura</w:t>
      </w:r>
      <w:r w:rsidR="00C1434C">
        <w:t>n</w:t>
      </w:r>
      <w:r>
        <w:t xml:space="preserve"> la severidad; el ARI captura la reactividad; y ambos describen dimensiones ortogonales del fenotipo.</w:t>
      </w:r>
    </w:p>
    <w:p w14:paraId="72C1FB96" w14:textId="77777777" w:rsidR="00CD5F54" w:rsidRDefault="00000000">
      <w:pPr>
        <w:pStyle w:val="Ttulo2"/>
      </w:pPr>
      <w:r>
        <w:t>9.3.3  Variabilidad intraindividual como información</w:t>
      </w:r>
    </w:p>
    <w:p w14:paraId="16DD9EC2" w14:textId="15B7D06D" w:rsidR="00CD5F54" w:rsidRDefault="00000000">
      <w:pPr>
        <w:spacing w:after="160" w:line="276" w:lineRule="auto"/>
        <w:jc w:val="both"/>
      </w:pPr>
      <w:r>
        <w:t xml:space="preserve">La literatura clásica del sueño trata la variabilidad noche a noche como ruido: las guías de estadificación recomiendan estudios repetidos para obtener estimaciones estables de los índices de severidad (Masa et al., 2011). El Proyecto </w:t>
      </w:r>
      <w:r w:rsidR="00583CDD">
        <w:t>PAC</w:t>
      </w:r>
      <w:r>
        <w:t xml:space="preserve"> propone la perspectiva opuesta: la variabilidad intraindividual —las diferencias entre las noches de un mismo paciente— es </w:t>
      </w:r>
      <w:r>
        <w:lastRenderedPageBreak/>
        <w:t>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14:paraId="4F20364B" w14:textId="0CC26699" w:rsidR="00CD5F54" w:rsidRDefault="00000000">
      <w:pPr>
        <w:spacing w:after="160" w:line="276" w:lineRule="auto"/>
        <w:jc w:val="both"/>
      </w:pPr>
      <w:r>
        <w:t>El análisis de trayectorias nocturnas (K = 3</w:t>
      </w:r>
      <w:r w:rsidR="00583CDD">
        <w:t xml:space="preserve">) </w:t>
      </w:r>
      <w:r>
        <w:t>materializa esta perspectiva: los tres fenotipos de trayectoria (Estable-Protector, Carga Intermedia, Carga Hipóxica Alta) no describen pacientes distintos sino noches distintas de los mismos pacientes. El hallazgo de que el fenotipo de Carga Hipóxica Alta (CHA) aparece con frecuencia en pacientes clasificados como SAOS moderado según su ODI3 nocturno medio es particularmente relevante: implica que algunos pacientes moderados tienen noches puntualmente severas que el promedio enmascara, y que esas noches podrían ser identificadas prospectivamente mediante las representaciones PAC antes de que se consolide la carga hipóxica acumulada.</w:t>
      </w:r>
    </w:p>
    <w:p w14:paraId="21CFAF78" w14:textId="77777777" w:rsidR="00CD5F54" w:rsidRDefault="00000000">
      <w:pPr>
        <w:pStyle w:val="Ttulo1"/>
        <w:pBdr>
          <w:bottom w:val="single" w:sz="4" w:space="4" w:color="D0D8E4"/>
        </w:pBdr>
      </w:pPr>
      <w:r>
        <w:t>9.4  Acoplamiento morfotipo–estado: la estructura no aleatoria del riesgo nocturno</w:t>
      </w:r>
    </w:p>
    <w:p w14:paraId="378B485D" w14:textId="70D885AE" w:rsidR="00CD5F54" w:rsidRDefault="00583CDD">
      <w:pPr>
        <w:spacing w:after="160" w:line="276" w:lineRule="auto"/>
        <w:jc w:val="both"/>
      </w:pPr>
      <w:r>
        <w:t xml:space="preserve">La pregunta que conecta ambas representaciones </w:t>
      </w:r>
      <w:r>
        <w:t xml:space="preserve">(eventoy estados PAC) </w:t>
      </w:r>
      <w:r>
        <w:t>es si el estado fisiológico activo en el momento de un evento predice su morfología, es decir, si ciertos estados concentran morfotipos severos de manera no aleatoria.</w:t>
      </w:r>
      <w:r w:rsidR="002747B3">
        <w:t xml:space="preserve"> </w:t>
      </w:r>
      <w:r w:rsidR="00000000">
        <w:t>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14:paraId="7563F358" w14:textId="77777777" w:rsidR="00CD5F54" w:rsidRDefault="00000000">
      <w:pPr>
        <w:spacing w:after="160" w:line="276" w:lineRule="auto"/>
        <w:jc w:val="both"/>
      </w:pPr>
      <w:r>
        <w:t>La respuesta es afirmativa en las tres escalas: V de Cramér = 0,356 (escala S), 0,231 (M) y 0,196 (L). Los estados de mayor concentración de morfotipos C4+C5 son S2, S4 y S6 en la escala S; M1 y M3 en la M; y L0 y L1 en la L. Las tasas de riesgo relativo (RR) son clínicamente interpretables: un evento que ocurre en estado S6 tiene 4,9 veces más probabilidad de ser C4 o C5 que uno que ocurre en un estado protector. Esta estructura implica que el contexto dinámico de la noche —el estado PAC activo en el momento del evento— es informativo sobre la severidad probable del evento que está ocurriendo, incluso antes de observar la forma completa de la curva. La cuantificación de este acoplamiento morfotipo–estado sobre más de 80.000 eventos no tiene precedente directo en la literatura de monitoreo domiciliario del SAOS: los estudios que analizan la variabilidad evento a evento generalmente lo hacen sobre índices univariados —duración o profundidad del evento— sin conectarlos con el estado dinámico multiescala de la noche, y el enfoque del pipeline PAC_v3 hace posible esta caracterización sin instrumentación adicional ni anotación manual.</w:t>
      </w:r>
    </w:p>
    <w:p w14:paraId="167B75D3" w14:textId="77777777" w:rsidR="00CD5F54" w:rsidRDefault="00000000">
      <w:pPr>
        <w:spacing w:after="160" w:line="276" w:lineRule="auto"/>
        <w:jc w:val="both"/>
      </w:pPr>
      <w:r>
        <w:t>La relación entre acoplamiento y resiliencia post-evento —la probabilidad de que el estado permanezca igual tras un evento severo— añade una dimensión temporal relevante: la inercia del estado es creciente con la escala (S = 43,3 %, M = 12,3 %, L = 1,3 %). Esto implica que los estados de mayor riesgo en la escala S son más efímeros —el sistema puede salir de ellos con relativa rapidez— mientras que los estados de riesgo en la escala L son más persistentes: una vez que la arquitectura global de la noche adopta un patrón L0 (hipoxemia sostenida), el sistema tiende a permanecer en ese régimen durante períodos prolongados. Esta inercia creciente con la escala es el fundamento fisiológico de la predicción prospectiva con horizonte de 5–15 min implementada en el Cap08.</w:t>
      </w:r>
    </w:p>
    <w:p w14:paraId="1963E710" w14:textId="77777777" w:rsidR="00CD5F54" w:rsidRDefault="00000000">
      <w:pPr>
        <w:pStyle w:val="Ttulo1"/>
        <w:pBdr>
          <w:bottom w:val="single" w:sz="4" w:space="4" w:color="D0D8E4"/>
        </w:pBdr>
      </w:pPr>
      <w:r>
        <w:lastRenderedPageBreak/>
        <w:t>9.5  De la caracterización al pronóstico: los modelos del Cap06 y Cap08 frente a la literatura</w:t>
      </w:r>
    </w:p>
    <w:p w14:paraId="28A40843" w14:textId="77777777" w:rsidR="00CD5F54" w:rsidRDefault="00000000">
      <w:pPr>
        <w:pStyle w:val="Ttulo2"/>
      </w:pPr>
      <w:r>
        <w:t>9.5.1  Clasificación retrospectiva vs. predicción prospectiva</w:t>
      </w:r>
    </w:p>
    <w:p w14:paraId="37DDB5B4" w14:textId="77777777" w:rsidR="00CD5F54" w:rsidRDefault="00000000">
      <w:pPr>
        <w:spacing w:after="160" w:line="276" w:lineRule="auto"/>
        <w:jc w:val="both"/>
      </w:pPr>
      <w:r>
        <w:t>Los análisis del Cap06 y Cap08 representan dos preguntas analíticamente distintas. El Cap06 pregunta: dado que un evento está ocurriendo ahora, ¿cuál es su morfotipo probable y el riesgo nocturno acumulado? el Cap08 pregunta: dado el estado fisiológico ahora, ¿habrá un evento severo en los próximos H minutos? La distinción no es solo técnica: implica que el Cap08 opera sin señal de evento en curso, lo que lo hace más difícil (AUC 8 puntos menor que el obtenido en Cap06) pero también más útil clínicamente, porque habilita la intervención antes de que el evento comience.</w:t>
      </w:r>
    </w:p>
    <w:p w14:paraId="4F90792E" w14:textId="77777777" w:rsidR="00CD5F54" w:rsidRDefault="00000000">
      <w:pPr>
        <w:spacing w:after="160" w:line="276" w:lineRule="auto"/>
        <w:jc w:val="both"/>
      </w:pPr>
      <w:r>
        <w:t>En la literatura de predicción de eventos en señales fisiológicas portátiles, el rendimiento del Cap08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14:paraId="7485BBCA" w14:textId="77777777" w:rsidR="00CD5F54" w:rsidRDefault="00000000">
      <w:pPr>
        <w:spacing w:after="160" w:line="276" w:lineRule="auto"/>
        <w:jc w:val="both"/>
      </w:pPr>
      <w:r>
        <w:t>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 noche → ventana).</w:t>
      </w:r>
    </w:p>
    <w:p w14:paraId="49822BAB" w14:textId="77777777" w:rsidR="00CD5F54" w:rsidRDefault="00000000">
      <w:pPr>
        <w:pStyle w:val="Ttulo2"/>
      </w:pPr>
      <w:r>
        <w:t>9.5.2  Importancia de features: la posición temporal y la historia dinámica</w:t>
      </w:r>
    </w:p>
    <w:p w14:paraId="21D21F8E" w14:textId="77777777" w:rsidR="00CD5F54" w:rsidRDefault="00000000">
      <w:pPr>
        <w:spacing w:after="160" w:line="276" w:lineRule="auto"/>
        <w:jc w:val="both"/>
      </w:pPr>
      <w:r>
        <w:t>Un resultado interpretativo relevante del Cap08 es la jerarquía de features: window_position (posición temporal dentro de la noche) y ci_sofar (coupling index acumulado hasta el momento) dominan la importancia en todos los horizontes, con el estado PAC activo como tercera dimensión relevante para H = 2 min. Que la posición temporal sea el predictor más informativo es coherente con la literatura cronobiológica del SAOS: la distribución de los eventos severos no es uniforme a lo largo de la noche en todos los pacientes; en algunos, los episodios de mayor severidad se concentran en la segunda mitad de la noche, posiblemente en asociación con la mayor proporción de sueño REM (Lévy et al., 2015). Sin embargo, el perfil de riesgo predicho en el Cap08 es sorprendentemente plano a lo largo de los deciles de la noche, lo que sugiere que window_position opera más como covariable de contexto que como predictor de un pico temporal sistemático.</w:t>
      </w:r>
    </w:p>
    <w:p w14:paraId="15115BA9" w14:textId="77777777" w:rsidR="00CD5F54" w:rsidRDefault="00000000">
      <w:pPr>
        <w:spacing w:after="160" w:line="276" w:lineRule="auto"/>
        <w:jc w:val="both"/>
      </w:pPr>
      <w: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w:t>
      </w:r>
      <w:r>
        <w:lastRenderedPageBreak/>
        <w:t>próximo evento sea severo. Este resultado es la validación prospectiva de la estructura de acoplamiento descrita en el Cap06: si el acoplamiento fuera un artefacto espurio del clustering, no debería predecir eventos futuros con la consistencia observada.</w:t>
      </w:r>
    </w:p>
    <w:p w14:paraId="55F62A66" w14:textId="77777777" w:rsidR="00CD5F54" w:rsidRDefault="00000000">
      <w:pPr>
        <w:pStyle w:val="Ttulo2"/>
      </w:pPr>
      <w:r>
        <w:t>9.5.3  El lead time de 5 min como condición algorítmica mínima</w:t>
      </w:r>
    </w:p>
    <w:p w14:paraId="5FC57A3F" w14:textId="77777777" w:rsidR="00CD5F54" w:rsidRDefault="00000000">
      <w:pPr>
        <w:spacing w:after="160" w:line="276" w:lineRule="auto"/>
        <w:jc w:val="both"/>
      </w:pPr>
      <w:r>
        <w:t>El concepto de condición algorítmica mínima para la intervención adaptativa es central a la interpretación del Cap08. El análisis no demuestra que el estimulador transcutáneo del SOMNI 6000 sea terapéuticamente efectivo —eso requeriría un ensayo clínico controlado con estimulación activa vs. placebo. Lo que el análisis establece es la condición previa: que existe, en las representaciones PAC construidas sobre oximetría domiciliaria, información predictiva prospectiva con horizonte suficiente para que una intervención sea algorítmicamente posible. El lead time de 5 min supera el tiempo de ramp-up fisiológico del estimulador transcutáneo (≥ 90 s; Clifton et al., 2015) por un factor mayor a 3, lo que establece que, de existir un efecto terapéutico, la ventana de anticipación sería suficiente para activarlo.</w:t>
      </w:r>
    </w:p>
    <w:p w14:paraId="35EFB202" w14:textId="77777777" w:rsidR="00CD5F54" w:rsidRDefault="00000000">
      <w:pPr>
        <w:spacing w:after="160" w:line="276" w:lineRule="auto"/>
        <w:jc w:val="both"/>
      </w:pPr>
      <w:r>
        <w:t>Este tipo de argumento —demostrar la condición algorítmica mínima antes de diseñar el ensayo clínico— es consistente con la metodología de desarrollo de dispositivos médicos adaptativos, donde la validación analítica precede a la validación clínica (FDA, 2019). La cadena de evidencia propuesta por el Proyecto APNEA sigue esta lógica: Cap04–06 establecen que las representaciones PAC contienen información diagnóstica de valor clínico; Cap08 establece que esa información transporta contenido predictivo prospectivo; el ensayo clínico, como trabajo futuro, evaluaría si actuar sobre esa predicción tiene efecto terapéutico.</w:t>
      </w:r>
    </w:p>
    <w:p w14:paraId="478CB883" w14:textId="77777777" w:rsidR="00CD5F54" w:rsidRDefault="00000000">
      <w:pPr>
        <w:pStyle w:val="Ttulo1"/>
        <w:pBdr>
          <w:bottom w:val="single" w:sz="4" w:space="4" w:color="D0D8E4"/>
        </w:pBdr>
      </w:pPr>
      <w:r>
        <w:t>9.6  Oximetría domiciliaria como plataforma de fenotipado: alcances y comparación con el PSG</w:t>
      </w:r>
    </w:p>
    <w:p w14:paraId="7C8F65DC" w14:textId="77777777" w:rsidR="00CD5F54" w:rsidRDefault="00000000">
      <w:pPr>
        <w:spacing w:after="160" w:line="276" w:lineRule="auto"/>
        <w:jc w:val="both"/>
      </w:pPr>
      <w:r>
        <w:t>Una dimensión transversal a toda la tesis es el posicionamiento de la oximetría domiciliaria portátil frente al gold standard de la polisomnografía completa. La PSG proporciona información que la oximetría domiciliaria no puede replicar: electroencefalografía (estadios del sueño), electromiografía (arousal muscular), capnografía (CO₂ expirado) y videomonitoreo. El AHI, en sentido estricto, requiere PSG para su cálculo. La oximetría domiciliaria —aun con el enriquecimiento analítico que el pipeline PAC añade— no pretende sustituir al PSG en la caracterización diagnóstica completa.</w:t>
      </w:r>
    </w:p>
    <w:p w14:paraId="244394D2" w14:textId="77777777" w:rsidR="00CD5F54" w:rsidRDefault="00000000">
      <w:pPr>
        <w:spacing w:after="160" w:line="276" w:lineRule="auto"/>
        <w:jc w:val="both"/>
      </w:pPr>
      <w:r>
        <w:t>Sin embargo, la literatura ha documentado que la oximetría domiciliaria portable ofrece un rendimiento diagnóstico razonablemente comparable al PSG para la detección y estratificación del SAOS moderado a severo (Duran-Cantolla et al., 2010; Masa et al., 2011). En ese rango de severidad, el ODI3 tiene alta concordancia con el AHI (correlaciones ρ &gt; 0,85 en cohortes representativas), y el T90 añade información pronóstica independiente. El valor que PAC añade sobre los índices convencionales es la estructura: la morfología de los eventos, la dinámica de los estados y el acoplamiento entre ambos son dimensiones que el PSG convencional no captura —porque su objetivo de diseño fue la estadificación del sueño, no el fenotipado morfológico de los eventos individuales.</w:t>
      </w:r>
    </w:p>
    <w:p w14:paraId="4FB10558" w14:textId="77777777" w:rsidR="00CD5F54" w:rsidRDefault="00000000">
      <w:pPr>
        <w:spacing w:after="160" w:line="276" w:lineRule="auto"/>
        <w:jc w:val="both"/>
      </w:pPr>
      <w:r>
        <w:t xml:space="preserve">La afirmación central de la tesis en este plano es que la oximetría portátil de un único sensor, adecuadamente procesada mediante el pipeline PAC_v3, puede producir representaciones fenotípicas de complejidad comparable a las derivadas de estudios completos para las </w:t>
      </w:r>
      <w:r>
        <w:lastRenderedPageBreak/>
        <w:t>dimensiones que PAC aborda. Esta afirmación es evaluable empíricamente: comparar los morfotipos C1–C5 y los estados PAC obtenidos sobre la cohorte PAC_v2 con los obtenidos sobre una cohorte con PSG simultánea permitiría cuantificar la pérdida de información diagnóstica. Esta comparación queda como trabajo futuro explícito, condicionada a la disponibilidad de una cohorte de validación con PSG y oximetría portátil paralelas.</w:t>
      </w:r>
    </w:p>
    <w:p w14:paraId="5526DEA1" w14:textId="77777777" w:rsidR="00CD5F54" w:rsidRDefault="00000000">
      <w:pPr>
        <w:pStyle w:val="Ttulo1"/>
        <w:pBdr>
          <w:bottom w:val="single" w:sz="4" w:space="4" w:color="D0D8E4"/>
        </w:pBdr>
      </w:pPr>
      <w:r>
        <w:t>9.7  Hacia la terapéutica automática del SAOS severo: condición algorítmica y agenda clínica</w:t>
      </w:r>
    </w:p>
    <w:p w14:paraId="4F37A246" w14:textId="77777777" w:rsidR="00CD5F54" w:rsidRDefault="00000000">
      <w:pPr>
        <w:pStyle w:val="Ttulo2"/>
      </w:pPr>
      <w:r>
        <w:t>9.7.1  Lo que esta tesis establece</w:t>
      </w:r>
    </w:p>
    <w:p w14:paraId="245944D4" w14:textId="77777777" w:rsidR="00CD5F54" w:rsidRDefault="00000000">
      <w:pPr>
        <w:spacing w:after="160" w:line="276" w:lineRule="auto"/>
        <w:jc w:val="both"/>
      </w:pPr>
      <w:r>
        <w:t>El Proyecto APNEA establece, sobre una cohorte de 12 pacientes (8 en los módulos supervisados) y 553 noches de calidad, las siguientes proposiciones analíticas: (a) los EDOs pueden fenotipificarse morfológicamente en cinco morfotipos (C1–C5) mediante agrupamiento no supervisado sobre la curva normalizada de SpO₂, y esa fenotipia es reproducible entre noches para un mismo paciente; (b) la fisiología nocturna puede representarse como un sistema de estados dinámicos a tres escalas temporales (S/M/L), con estados especializados funcionalmente para predecir la frecuencia, la carga hipóxica integrada y la reactividad autonómica respectivamente; (c) el acoplamiento entre los estados activos y la morfología de los eventos que ocurren en ellos tiene estructura no aleatoria cuantificable (V de Cramér 0,196–0,356), con estados de riesgo relativo hasta 4,9× mayor para morfotipos severos; (d) las representaciones PAC permiten clasificar la severidad del evento individual con AUC = 0,878 y el riesgo nocturno con AUC = 0,905, con validación estricta LOPO-CV; y (e) esas representaciones transportan información predictiva prospectiva con horizonte H = 5 min y AUC = 0,821 ± 0,022, con consistencia entre los ocho pacientes de la cohorte.</w:t>
      </w:r>
    </w:p>
    <w:p w14:paraId="0FB233FD" w14:textId="77777777" w:rsidR="00CD5F54" w:rsidRDefault="00000000">
      <w:pPr>
        <w:spacing w:after="160" w:line="276" w:lineRule="auto"/>
        <w:jc w:val="both"/>
      </w:pPr>
      <w:r>
        <w:t>Estas proposiciones, en su conjunto, conforman la evidencia analítica previa que justifica el diseño de una intervención adaptativa basada en el estado PAC. No demuestran que la intervención sea efectiva —eso requiere un ensayo clínico controlado— pero establecen que las representaciones sobre las que se basaría contienen información predictiva real, generalizable entre pacientes, con horizonte temporal suficiente.</w:t>
      </w:r>
    </w:p>
    <w:p w14:paraId="42812283" w14:textId="77777777" w:rsidR="00CD5F54" w:rsidRDefault="00000000">
      <w:pPr>
        <w:pStyle w:val="Ttulo2"/>
      </w:pPr>
      <w:r>
        <w:t>9.7.2  La heterogeneidad inter-paciente como barrera principal</w:t>
      </w:r>
    </w:p>
    <w:p w14:paraId="6F15DEDE" w14:textId="77777777" w:rsidR="00CD5F54" w:rsidRDefault="00000000">
      <w:pPr>
        <w:spacing w:after="160" w:line="276" w:lineRule="auto"/>
        <w:jc w:val="both"/>
      </w:pPr>
      <w:r>
        <w:t>El resultado que más claramente condiciona la traslación clínica del Cap08 no es el AUC sino la heterogeneidad inter-paciente en prevalencia de eventos severos: desde el 1,6 % del paciente con menor carga hasta el 32,1 % del de mayor carga —un rango de 20 veces. Esta variación implica que un umbral global de activación del estimulador, calibrado sobre el corpus completo, es subóptimo para todos los pacientes individualmente. Un sistema clínicamente viable requeriría una fase inicial de caracterización individualizada: las primeras noches de monitoreo —sin activación del estimulador— servirían para estimar la prevalencia de eventos severos en ese paciente particular y ajustar el umbral de detección en consecuencia. Este diseño de "umbral adaptativo por paciente" es coherente con la estructura del protocolo clínico del SOMNI 6000 y con las recomendaciones de la literatura de sistemas de alerta clínica portátiles (Clifton et al., 2015).</w:t>
      </w:r>
    </w:p>
    <w:p w14:paraId="3513DE57" w14:textId="77777777" w:rsidR="00CD5F54" w:rsidRDefault="00000000">
      <w:pPr>
        <w:spacing w:after="160" w:line="276" w:lineRule="auto"/>
        <w:jc w:val="both"/>
      </w:pPr>
      <w:r>
        <w:t xml:space="preserve">La paradoja del Pac 314 —el paciente de menor prevalencia del corpus exhibe el AUC más alto (0,87–0,84 en todos los horizontes)— es reveladora en este contexto: la capacidad </w:t>
      </w:r>
      <w:r>
        <w:lastRenderedPageBreak/>
        <w:t>discriminativa del sistema PAC no está condicionada por la frecuencia absoluta de los eventos severos, sino por el grado en que el estado fisiológico previo al evento es distinguible del estado habitual del paciente. Cuando ocurren los escasos eventos severos de Pac 314, el sistema PAC los anticipa con muy alta precisión relativa, precisamente porque esos eventos son inusuales en el contexto de su fisiología habitual.</w:t>
      </w:r>
    </w:p>
    <w:p w14:paraId="56457477" w14:textId="77777777" w:rsidR="00CD5F54" w:rsidRDefault="00000000">
      <w:pPr>
        <w:pStyle w:val="Ttulo2"/>
      </w:pPr>
      <w:r>
        <w:t>9.7.3  La circularidad PAC y el requisito de validación externa</w:t>
      </w:r>
    </w:p>
    <w:p w14:paraId="4191D04C" w14:textId="77777777" w:rsidR="00CD5F54" w:rsidRDefault="00000000">
      <w:pPr>
        <w:spacing w:after="160" w:line="276" w:lineRule="auto"/>
        <w:jc w:val="both"/>
      </w:pPr>
      <w:r>
        <w:t>La limitación metodológica más relevante del arco analítico completo es la circularidad potencial de las representaciones PAC. Los morfotipos C1–C5 y los estados S/M/L fueron construidos mediante clustering no supervisado sobre la misma cohorte de 8 pacientes que se utiliza para evaluar los modelos predictivos supervisados. La validación LOPO-CV mitiga parcialmente este problema en los modelos predictivos, pero no lo elimina: los modelos de clustering se entrenaron sobre todos los pacientes, incluido el fold de evaluación. Si los clusters capturan implícitamente patrones de riesgo correlacionados con la composición de la cohorte de entrenamiento, parte del AUC reportado podría reflejar esa dependencia circular.</w:t>
      </w:r>
    </w:p>
    <w:p w14:paraId="11F0D000" w14:textId="77777777" w:rsidR="00CD5F54" w:rsidRDefault="00000000">
      <w:pPr>
        <w:spacing w:after="160" w:line="276" w:lineRule="auto"/>
        <w:jc w:val="both"/>
      </w:pPr>
      <w:r>
        <w:t>La solución metodológica correcta requiere una de dos estrategias: (a) validación en una cohorte externa independiente, con morphotipos y estados PAC aprendidos de forma completamente separada; o (b) reconstrucción de los clusters PAC dentro de cada fold de entrenamiento de la validación LOPO-CV, aplicándolos al fold de evaluación sin contaminación. Ninguna de estas estrategias es computacionalmente trivial con el tamaño actual de la cohorte, pero ambas son necesarias para establecer la generalización de los resultados más allá de la cohorte PAC_v2. Esta cohorte externa es el trabajo futuro de mayor prioridad metodológica para las publicaciones T2, T3 y T4 proyectadas.</w:t>
      </w:r>
    </w:p>
    <w:p w14:paraId="5E68420D" w14:textId="77777777" w:rsidR="00CD5F54" w:rsidRDefault="00000000">
      <w:pPr>
        <w:pStyle w:val="Ttulo2"/>
      </w:pPr>
      <w:r>
        <w:t>9.7.4  El camino al ensayo clínico controlado</w:t>
      </w:r>
    </w:p>
    <w:p w14:paraId="60BAD373" w14:textId="77777777" w:rsidR="00CD5F54" w:rsidRDefault="00000000">
      <w:pPr>
        <w:spacing w:after="160" w:line="276" w:lineRule="auto"/>
        <w:jc w:val="both"/>
      </w:pPr>
      <w:r>
        <w:t>El diseño de un ensayo clínico controlado para evaluar la eficacia terapéutica de la estimulación basada en el estado PAC requeriría, como mínimo: (a) una cohorte de validación externa de al menos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Este diseño, análogo al utilizado en estudios de dispositivos de CPAP en modalidad auto-titulante (Lévy et al., 2015), permitiría cerrar la brecha entre la factibilidad analítica demostrada por esta tesis y la eficacia terapéutica requerida para la aprobación regulatoria.</w:t>
      </w:r>
    </w:p>
    <w:p w14:paraId="7A4EBDBD" w14:textId="77777777" w:rsidR="00CD5F54" w:rsidRDefault="00000000">
      <w:pPr>
        <w:pStyle w:val="Ttulo1"/>
        <w:pBdr>
          <w:bottom w:val="single" w:sz="4" w:space="4" w:color="D0D8E4"/>
        </w:pBdr>
      </w:pPr>
      <w:r>
        <w:t>9.8  Limitaciones integradas del arco analítico</w:t>
      </w:r>
    </w:p>
    <w:p w14:paraId="39D1E922" w14:textId="77777777" w:rsidR="00CD5F54" w:rsidRDefault="00000000">
      <w:pPr>
        <w:spacing w:after="160" w:line="276" w:lineRule="auto"/>
        <w:jc w:val="both"/>
      </w:pPr>
      <w:r>
        <w:t>Las limitaciones del Proyecto APNEA han sido discutidas en cada capítulo de resultados; el presente capítulo las articula como un conjunto coherente para identificar su impacto combinado sobre la interpretación de las contribuciones.</w:t>
      </w:r>
    </w:p>
    <w:p w14:paraId="44E97F5D" w14:textId="77777777" w:rsidR="00CD5F54" w:rsidRDefault="00000000">
      <w:pPr>
        <w:spacing w:after="160" w:line="276" w:lineRule="auto"/>
        <w:jc w:val="both"/>
      </w:pPr>
      <w:r>
        <w:rPr>
          <w:b/>
          <w:bCs/>
        </w:rPr>
        <w:t xml:space="preserve">Tamaño muestral. </w:t>
      </w:r>
      <w:r>
        <w:t xml:space="preserve">La cohorte comprende 12 pacientes en los análisis descriptivos y 8 en los módulos supervisados. Para análisis no supervisados sobre el corpus de 85.277 </w:t>
      </w:r>
      <w:r>
        <w:lastRenderedPageBreak/>
        <w:t>eventos, el n es estadísticamente robusto; para los modelos supervisados validados con LOPO-CV, el n efectivo es 8 pacientes —cada fold entrena sobre 7. La consistencia del AUC entre folds (SD &lt; 3 puntos en los modelos del Cap06 y Cap08) es alentadora, pero el intervalo de confianza implícito sobre las métricas reportadas es amplio. Ninguno de los resultados supervisados debería interpretarse como evidencia de generalización poblacional; esa interpretación requiere la cohorte externa discutida en §9.7.3.</w:t>
      </w:r>
    </w:p>
    <w:p w14:paraId="4CC7ED99" w14:textId="77777777" w:rsidR="00CD5F54" w:rsidRDefault="00000000">
      <w:pPr>
        <w:spacing w:after="160" w:line="276" w:lineRule="auto"/>
        <w:jc w:val="both"/>
      </w:pPr>
      <w:r>
        <w:rPr>
          <w:b/>
          <w:bCs/>
        </w:rPr>
        <w:t xml:space="preserve">Sesgo de selección y representatividad poblacional. </w:t>
      </w:r>
      <w:r>
        <w:t>La cohorte PAC_v2 concentra una doble restricción que limita significativamente su representatividad poblacional. Por un lado, los 12 participantes fueron reclutados en una práctica médica privada especializada en trastornos respiratorios del sueño: todos presentaban sospecha clínica de SAOS y fueron referidos para estudio ambulatorio, lo que sobrerepresenta el rango moderado-severo de la enfermedad y excluye prácticamente a pacientes con SAOS leve, sujetos sin diagnóstico y controles sanos. Por otro lado, la cohorte es numéricamente pequeña incluso dentro de ese espectro clínico restringido: 12 pacientes es un subconjunto muy específico de la población general con SAOS, que según estimaciones epidemiológicas afecta al 9–38 % de los adultos según los criterios diagnósticos y la demografía considerada (Benjafield et al., 2019). Esta combinación —pocos pacientes, todos con patología confirmada o probable, provenientes de un único centro privado— implica que los modelos y representaciones desarrollados capturan la fisiología de pacientes diagnosticados que buscan atención especializada, no la de la población general ni la de pacientes en estadios tempranos o asintomáticos. Cualquier intento de trasladar el pipeline PAC_v3 a contextos de tamizaje poblacional, medicina preventiva o monitoreo de pacientes con SAOS leve requeriría una cohorte de validación con una distribución demográfica y clínica sustancialmente diferente.</w:t>
      </w:r>
    </w:p>
    <w:p w14:paraId="2CF2E61E" w14:textId="77777777" w:rsidR="00CD5F54" w:rsidRDefault="00000000">
      <w:pPr>
        <w:spacing w:after="160" w:line="276" w:lineRule="auto"/>
        <w:jc w:val="both"/>
      </w:pPr>
      <w:r>
        <w:rPr>
          <w:b/>
          <w:bCs/>
        </w:rPr>
        <w:t xml:space="preserve">Ausencia de PSG simultánea. </w:t>
      </w:r>
      <w:r>
        <w:t>La cohorte no dispone de polisomnografía paralela a los registros de oximetría domiciliaria. Esto impide la comparación directa de los morfotipos C1–C5 y los estados PAC con los estadios del sueño convencionales, y limita la calibración del ODI3 como subrogante del AHI a la literatura publicada en lugar de a datos propios.</w:t>
      </w:r>
    </w:p>
    <w:p w14:paraId="7D72D713" w14:textId="77777777" w:rsidR="00CD5F54" w:rsidRDefault="00000000">
      <w:pPr>
        <w:spacing w:after="160" w:line="276" w:lineRule="auto"/>
        <w:jc w:val="both"/>
      </w:pPr>
      <w:r>
        <w:rPr>
          <w:b/>
          <w:bCs/>
        </w:rPr>
        <w:t xml:space="preserve">Circularidad PAC. </w:t>
      </w:r>
      <w:r>
        <w:t>Como se detalló en §9.7.3, los modelos no supervisados que definen las representaciones PAC fueron construidos sobre la misma cohorte que los modelos supervisados. La validación LOPO-CV mitiga pero no elimina la circularidad. Este es el límite metodológico más importante del arco analítico y el que la validación externa resolvería directamente.</w:t>
      </w:r>
    </w:p>
    <w:p w14:paraId="39B1ED5D" w14:textId="77777777" w:rsidR="00CD5F54" w:rsidRDefault="00000000">
      <w:pPr>
        <w:spacing w:after="160" w:line="276" w:lineRule="auto"/>
        <w:jc w:val="both"/>
      </w:pPr>
      <w:r>
        <w:rPr>
          <w:b/>
          <w:bCs/>
        </w:rPr>
        <w:t xml:space="preserve">Calibración de probabilidades. </w:t>
      </w:r>
      <w:r>
        <w:t>Los modelos LightGBM de del Cap06 y Cap08 producen probabilidades pobremente calibradas en términos absolutos —sobreestimación de ~4× para el modelo del Cap08— aunque las métricas de discriminación (AUC, AP) son robustas. Un sistema de activación clínica que utilice las probabilidades del modelo en sus valores absolutos requeriría una etapa de calibración explícita (Platt scaling o isotónica) antes de cualquier uso operacional.</w:t>
      </w:r>
    </w:p>
    <w:p w14:paraId="79EBCD31" w14:textId="77777777" w:rsidR="00CD5F54" w:rsidRDefault="00000000">
      <w:pPr>
        <w:spacing w:after="160" w:line="276" w:lineRule="auto"/>
        <w:jc w:val="both"/>
      </w:pPr>
      <w:r>
        <w:rPr>
          <w:b/>
          <w:bCs/>
        </w:rPr>
        <w:t xml:space="preserve">Efecto del estimulador: hipótesis no evaluada. </w:t>
      </w:r>
      <w:r>
        <w:t xml:space="preserve">Toda la cadena de razonamiento sobre la habilitación de la estimulación transcutánea se apoya en la hipótesis operacional de que el estímulo eléctrico genera una respuesta autonómica que reduce la probabilidad o severidad del evento anticipado. Esta hipótesis es plausible fisiopatológicamente, pero no ha sido evaluada en esta tesis ni existe, a la fecha de redacción, evidencia publicada específica para el SOMNI 6000 en SAOS. La distinción entre factibilidad algorítmica y </w:t>
      </w:r>
      <w:r>
        <w:lastRenderedPageBreak/>
        <w:t>eficacia terapéutica debe mantenerse explícita en cualquier comunicación de estos resultados.</w:t>
      </w:r>
    </w:p>
    <w:p w14:paraId="662BCAC8" w14:textId="77777777" w:rsidR="00CD5F54" w:rsidRDefault="00000000">
      <w:pPr>
        <w:pStyle w:val="Ttulo1"/>
        <w:pBdr>
          <w:bottom w:val="single" w:sz="4" w:space="4" w:color="D0D8E4"/>
        </w:pBdr>
      </w:pPr>
      <w:r>
        <w:t>9.9  Síntesis: la cadena EDO → Estados → Acople → Fenotipia → Predicción como contribución unificada</w:t>
      </w:r>
    </w:p>
    <w:p w14:paraId="390F4FC5" w14:textId="77777777" w:rsidR="00CD5F54" w:rsidRDefault="00000000">
      <w:pPr>
        <w:spacing w:after="160" w:line="276" w:lineRule="auto"/>
        <w:jc w:val="both"/>
      </w:pPr>
      <w:r>
        <w:t>La contribución central del Proyecto APNEA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(Cap08), y el fenotipo de trayectoria nocturna predice el riesgo de noche de alta carga hipóxica (Cap06 §6.11).</w:t>
      </w:r>
    </w:p>
    <w:p w14:paraId="1B740EBD" w14:textId="77777777" w:rsidR="00CD5F54" w:rsidRDefault="00000000">
      <w:pPr>
        <w:spacing w:after="160" w:line="276" w:lineRule="auto"/>
        <w:jc w:val="both"/>
      </w:pPr>
      <w:r>
        <w:t>Esta representación PAC —continua, multiescala y longitudinal— puede describirse como un nivel intermedio entre el índice escalar (ODI3, T90) y la señal cruda (SpO₂ bruta). Los índices escalares comprimen demasiado: pierden estructura temporal y morfológica. La señal cruda es demasiado densa: no es interpretable directamente por un clínico ni procesable por un modelo predictivo de manera eficiente. Las representaciones PAC operan en el espacio que queda entre ambos extremos: son compactas (vector de ~146 features por noche), interpretables (cada feature tiene un correlato fisiológico) y predictivamente útiles (los modelos que las utilizan superan de forma consistente a los baselines).</w:t>
      </w:r>
    </w:p>
    <w:p w14:paraId="4E6617CA" w14:textId="77777777" w:rsidR="00CD5F54" w:rsidRDefault="00000000">
      <w:pPr>
        <w:spacing w:after="160" w:line="276" w:lineRule="auto"/>
        <w:jc w:val="both"/>
      </w:pPr>
      <w:r>
        <w:t>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14:paraId="3DAB83E3" w14:textId="77777777" w:rsidR="00CD5F54" w:rsidRDefault="00000000">
      <w:pPr>
        <w:spacing w:after="160" w:line="276" w:lineRule="auto"/>
        <w:jc w:val="both"/>
      </w:pPr>
      <w:r>
        <w:t>La agenda de validación que permite avanzar desde esos resultados es concreta: cohorte externa de 30–50 pacientes con PSG simultánea; reconstrucción de clusters PAC dentro de cada fold de validación; calibración individualizada de los umbrales de predicción; y diseño del ensayo clínico controlado con el SOMNI 6000. Cada uno de esos pasos tiene precedentes metodológicos en la literatura y es implementable con el pipeline PAC_v3 en su estado actual, con extensiones acotadas. El Capítulo 10 recoge estas líneas de continuidad como parte de las conclusiones y trabajos futuros del proyecto.</w:t>
      </w:r>
    </w:p>
    <w:p w14:paraId="77EF7DB1" w14:textId="77777777" w:rsidR="00CD5F54" w:rsidRDefault="00000000">
      <w:pPr>
        <w:spacing w:before="280" w:after="100"/>
      </w:pPr>
      <w:r>
        <w:rPr>
          <w:b/>
          <w:bCs/>
          <w:color w:val="1E3A5F"/>
        </w:rPr>
        <w:t>Bridge al Capítulo 10 — Conclusiones</w:t>
      </w:r>
    </w:p>
    <w:p w14:paraId="39B5F486" w14:textId="77777777" w:rsidR="00CD5F54" w:rsidRDefault="00000000">
      <w:pPr>
        <w:spacing w:after="160" w:line="276" w:lineRule="auto"/>
        <w:jc w:val="both"/>
      </w:pPr>
      <w:r>
        <w:lastRenderedPageBreak/>
        <w:t>El Capítulo 10 sintetiza las contribuciones del Proyecto APNEA en sus tres planos —científico, metodológico y clínico—, presenta las publicaciones asociadas al trabajo y articula las líneas de trabajo futuro. La discusión desarrollada en el presente capítulo constituye el marco interpretativo desde el cual esas conclusiones adquieren sentido: lo que el proyecto establece tiene valor en la medida en que puede situarse con precisión frente a lo que la literatura ya sabía y frente a lo que aún queda por demostrar.</w:t>
      </w:r>
    </w:p>
    <w:p w14:paraId="147290E0" w14:textId="77777777" w:rsidR="00CD5F54" w:rsidRDefault="00000000">
      <w:r>
        <w:br w:type="page"/>
      </w:r>
    </w:p>
    <w:p w14:paraId="0A2C8CD6" w14:textId="77777777" w:rsidR="00CD5F54" w:rsidRDefault="00000000">
      <w:pPr>
        <w:pStyle w:val="Ttulo1"/>
        <w:pBdr>
          <w:bottom w:val="single" w:sz="4" w:space="4" w:color="D0D8E4"/>
        </w:pBdr>
      </w:pPr>
      <w:r>
        <w:lastRenderedPageBreak/>
        <w:t>Referencias</w:t>
      </w:r>
    </w:p>
    <w:p w14:paraId="68F1DBB1" w14:textId="1CCC88F4" w:rsidR="00CA79A5" w:rsidRPr="00CA79A5" w:rsidRDefault="00CA79A5">
      <w:pPr>
        <w:spacing w:after="100"/>
        <w:ind w:left="720" w:hanging="720"/>
        <w:jc w:val="both"/>
        <w:rPr>
          <w:sz w:val="18"/>
          <w:szCs w:val="18"/>
        </w:rPr>
      </w:pPr>
      <w:r w:rsidRPr="00CA79A5">
        <w:rPr>
          <w:sz w:val="18"/>
          <w:szCs w:val="18"/>
        </w:rPr>
        <w:t xml:space="preserve">Álvarez, D., Gutiérrez-Tobal, G. C., Vaquerizo-Villar, F., et al. (2022). Oximetry indices in the management of sleep apnea: from overnight minimum saturation to the novel hypoxemia measures. </w:t>
      </w:r>
      <w:r w:rsidRPr="00CA79A5">
        <w:rPr>
          <w:rStyle w:val="nfasis"/>
          <w:sz w:val="18"/>
          <w:szCs w:val="18"/>
        </w:rPr>
        <w:t>Advances in Experimental Medicine and Biology.</w:t>
      </w:r>
      <w:r w:rsidRPr="00CA79A5">
        <w:rPr>
          <w:sz w:val="18"/>
          <w:szCs w:val="18"/>
        </w:rPr>
        <w:t xml:space="preserve"> </w:t>
      </w:r>
      <w:hyperlink r:id="rId7" w:history="1">
        <w:r w:rsidRPr="00CA79A5">
          <w:rPr>
            <w:rStyle w:val="Hipervnculo"/>
            <w:sz w:val="18"/>
            <w:szCs w:val="18"/>
          </w:rPr>
          <w:t>https://pubmed.ncbi.nlm.nih.gov/36217087</w:t>
        </w:r>
      </w:hyperlink>
    </w:p>
    <w:p w14:paraId="6A23AEB4" w14:textId="3041D76A" w:rsidR="00CD5F54" w:rsidRDefault="00000000">
      <w:pPr>
        <w:spacing w:after="100"/>
        <w:ind w:left="720" w:hanging="720"/>
        <w:jc w:val="both"/>
      </w:pPr>
      <w:r>
        <w:rPr>
          <w:sz w:val="18"/>
          <w:szCs w:val="18"/>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75F21BBC" w14:textId="77777777" w:rsidR="00CD5F54" w:rsidRDefault="00000000">
      <w:pPr>
        <w:spacing w:after="100"/>
        <w:ind w:left="720" w:hanging="720"/>
        <w:jc w:val="both"/>
      </w:pPr>
      <w:r>
        <w:rPr>
          <w:sz w:val="18"/>
          <w:szCs w:val="18"/>
        </w:rPr>
        <w:t>Behar, J. A., Palmius, N., Li, Q., Garber, M., Nagaraj, S. B., &amp; Clifford, G. D. (2019). Feasibility of single channel oximetry for mass screening of obstructive sleep apnea. EClinicalMedicine, 11, 81–88. https://doi.org/10.1016/j.eclinm.2019.05.009</w:t>
      </w:r>
    </w:p>
    <w:p w14:paraId="641EEE29" w14:textId="77777777" w:rsidR="00CD5F54" w:rsidRDefault="00000000">
      <w:pPr>
        <w:spacing w:after="100"/>
        <w:ind w:left="720" w:hanging="720"/>
        <w:jc w:val="both"/>
        <w:rPr>
          <w:sz w:val="18"/>
          <w:szCs w:val="18"/>
        </w:rPr>
      </w:pPr>
      <w:r>
        <w:rPr>
          <w:sz w:val="18"/>
          <w:szCs w:val="18"/>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49E827A8" w14:textId="0781042E" w:rsidR="00CA79A5" w:rsidRPr="00CA79A5" w:rsidRDefault="00CA79A5">
      <w:pPr>
        <w:spacing w:after="100"/>
        <w:ind w:left="720" w:hanging="720"/>
        <w:jc w:val="both"/>
        <w:rPr>
          <w:sz w:val="18"/>
          <w:szCs w:val="18"/>
        </w:rPr>
      </w:pPr>
      <w:r w:rsidRPr="00CA79A5">
        <w:rPr>
          <w:sz w:val="18"/>
          <w:szCs w:val="18"/>
        </w:rPr>
        <w:t xml:space="preserve">Biedebach, L., Ferreira-Santos, D., Stefanos, M. A., et al. (2025). Unsupervised machine learning in sleep research: a scoping review. </w:t>
      </w:r>
      <w:r w:rsidRPr="00CA79A5">
        <w:rPr>
          <w:rStyle w:val="nfasis"/>
          <w:sz w:val="18"/>
          <w:szCs w:val="18"/>
        </w:rPr>
        <w:t>Sleep.</w:t>
      </w:r>
      <w:r w:rsidRPr="00CA79A5">
        <w:rPr>
          <w:sz w:val="18"/>
          <w:szCs w:val="18"/>
        </w:rPr>
        <w:t xml:space="preserve"> </w:t>
      </w:r>
      <w:hyperlink r:id="rId8" w:history="1">
        <w:r w:rsidRPr="00CA79A5">
          <w:rPr>
            <w:rStyle w:val="Hipervnculo"/>
            <w:sz w:val="18"/>
            <w:szCs w:val="18"/>
          </w:rPr>
          <w:t>https://pubmed.ncbi.nlm.nih.gov/40719375</w:t>
        </w:r>
      </w:hyperlink>
    </w:p>
    <w:p w14:paraId="11A38645" w14:textId="77777777" w:rsidR="00CD5F54" w:rsidRDefault="00000000">
      <w:pPr>
        <w:spacing w:after="100"/>
        <w:ind w:left="720" w:hanging="720"/>
        <w:jc w:val="both"/>
      </w:pPr>
      <w:r>
        <w:rPr>
          <w:sz w:val="18"/>
          <w:szCs w:val="18"/>
        </w:rPr>
        <w:t>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14:paraId="4962C3B5" w14:textId="77777777" w:rsidR="00CD5F54" w:rsidRDefault="00000000">
      <w:pPr>
        <w:spacing w:after="100"/>
        <w:ind w:left="720" w:hanging="720"/>
        <w:jc w:val="both"/>
      </w:pPr>
      <w:r>
        <w:rPr>
          <w:sz w:val="18"/>
          <w:szCs w:val="18"/>
        </w:rPr>
        <w:t>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14:paraId="6CFACAE5" w14:textId="77777777" w:rsidR="00CD5F54" w:rsidRDefault="00000000">
      <w:pPr>
        <w:spacing w:after="100"/>
        <w:ind w:left="720" w:hanging="720"/>
        <w:jc w:val="both"/>
      </w:pPr>
      <w:r>
        <w:rPr>
          <w:sz w:val="18"/>
          <w:szCs w:val="18"/>
        </w:rPr>
        <w:t>Eckert, D. J., White, D. P., Jordan, A. S., Malhotra, A., &amp; Wellman, A. (2013). Defining phenotypic causes of obstructive sleep apnea. Identification of novel therapeutic targets. American Journal of Respiratory and Critical Care Medicine, 188(8), 996–1004. https://doi.org/10.1164/rccm.201303-0448OC</w:t>
      </w:r>
    </w:p>
    <w:p w14:paraId="6C46B2B8" w14:textId="77777777" w:rsidR="00CD5F54" w:rsidRDefault="00000000">
      <w:pPr>
        <w:spacing w:after="100"/>
        <w:ind w:left="720" w:hanging="720"/>
        <w:jc w:val="both"/>
      </w:pPr>
      <w:r>
        <w:rPr>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14:paraId="6F431C86" w14:textId="77777777" w:rsidR="00CD5F54" w:rsidRDefault="00000000">
      <w:pPr>
        <w:spacing w:after="100"/>
        <w:ind w:left="720" w:hanging="720"/>
        <w:jc w:val="both"/>
      </w:pPr>
      <w:r>
        <w:rPr>
          <w:sz w:val="18"/>
          <w:szCs w:val="18"/>
        </w:rPr>
        <w:t>Inza, R., et al. (en preparación). Fenotipado morfológico y respuesta autonómica en eventos de desaturación nocturna: el Índice de Reactividad Autonómica (ARI). [T1]</w:t>
      </w:r>
    </w:p>
    <w:p w14:paraId="7CAA3F3B" w14:textId="77777777" w:rsidR="00CD5F54" w:rsidRDefault="00000000">
      <w:pPr>
        <w:spacing w:after="100"/>
        <w:ind w:left="720" w:hanging="720"/>
        <w:jc w:val="both"/>
      </w:pPr>
      <w:r>
        <w:rPr>
          <w:sz w:val="18"/>
          <w:szCs w:val="18"/>
        </w:rPr>
        <w:t>Inza, R., et al. (en preparación). Estados dinámicos multiescala de la fisiología nocturna en SAOS: el sistema PAC States. [T2]</w:t>
      </w:r>
    </w:p>
    <w:p w14:paraId="2A48B2B2" w14:textId="77777777" w:rsidR="00CD5F54" w:rsidRDefault="00000000">
      <w:pPr>
        <w:spacing w:after="100"/>
        <w:ind w:left="720" w:hanging="720"/>
        <w:jc w:val="both"/>
      </w:pPr>
      <w:r>
        <w:rPr>
          <w:sz w:val="18"/>
          <w:szCs w:val="18"/>
        </w:rPr>
        <w:t>Inza, R., et al. (en preparación). Acoplamiento morfotipo–estado y modelado predictivo basado en representaciones PAC. [T3]</w:t>
      </w:r>
    </w:p>
    <w:p w14:paraId="41FC1EAC" w14:textId="77777777" w:rsidR="00CD5F54" w:rsidRDefault="00000000">
      <w:pPr>
        <w:spacing w:after="100"/>
        <w:ind w:left="720" w:hanging="720"/>
        <w:jc w:val="both"/>
      </w:pPr>
      <w:r>
        <w:rPr>
          <w:sz w:val="18"/>
          <w:szCs w:val="18"/>
        </w:rPr>
        <w:t>Inza, R., et al. (en preparación). Predicción prospectiva de eventos de desaturación severa con horizonte temporal clínico mediante representaciones PAC. [T4]</w:t>
      </w:r>
    </w:p>
    <w:p w14:paraId="00317552" w14:textId="77777777" w:rsidR="00CD5F54" w:rsidRDefault="00000000">
      <w:pPr>
        <w:spacing w:after="100"/>
        <w:ind w:left="720" w:hanging="720"/>
        <w:jc w:val="both"/>
      </w:pPr>
      <w:r>
        <w:rPr>
          <w:sz w:val="18"/>
          <w:szCs w:val="18"/>
        </w:rPr>
        <w:t>Ke, G., Meng, Q., Finley, T., Wang, T., Chen, W., Ma, W., Ye, Q., &amp; Liu, T.-Y. (2017). LightGBM: a highly efficient gradient boosting decision tree. Advances in Neural Information Processing Systems, 30, 3146–3154.</w:t>
      </w:r>
    </w:p>
    <w:p w14:paraId="046E6D2F" w14:textId="77777777" w:rsidR="00CD5F54" w:rsidRDefault="00000000">
      <w:pPr>
        <w:spacing w:after="100"/>
        <w:ind w:left="720" w:hanging="720"/>
        <w:jc w:val="both"/>
      </w:pPr>
      <w:r>
        <w:rPr>
          <w:sz w:val="18"/>
          <w:szCs w:val="18"/>
        </w:rPr>
        <w:t>Lévy, P., Kohler, M., McNicholas, W. T., Barbé, F., McEvoy, R. D., Somers, V. K., … &amp; Pépin, J.-L. (2015). Obstructive sleep apnoea syndrome. Nature Reviews Disease Primers, 1, 15015. https://doi.org/10.1038/nrdp.2015.15</w:t>
      </w:r>
    </w:p>
    <w:p w14:paraId="1B5F65DE" w14:textId="77777777" w:rsidR="00CD5F54" w:rsidRDefault="00000000">
      <w:pPr>
        <w:spacing w:after="100"/>
        <w:ind w:left="720" w:hanging="720"/>
        <w:jc w:val="both"/>
      </w:pPr>
      <w:r>
        <w:rPr>
          <w:sz w:val="18"/>
          <w:szCs w:val="18"/>
        </w:rPr>
        <w:t>Masa, J. F., Corral, J., Pereira, R., Duran-Cantolla, J., Cabello, M., Hernández-Blasco, L., … &amp; Montserrat, J. M. (2011). Effectiveness of home respiratory polygraphy for the diagnosis of sleep apnoea and hypopnoea syndrome. Thorax, 66(7), 567–573. https://doi.org/10.1136/thx.2010.152272</w:t>
      </w:r>
    </w:p>
    <w:p w14:paraId="35D3A391" w14:textId="77777777" w:rsidR="00CD5F54" w:rsidRDefault="00000000">
      <w:pPr>
        <w:spacing w:after="100"/>
        <w:ind w:left="720" w:hanging="720"/>
        <w:jc w:val="both"/>
      </w:pPr>
      <w:r>
        <w:rPr>
          <w:sz w:val="18"/>
          <w:szCs w:val="18"/>
        </w:rPr>
        <w:t>Niculescu-Mizil, A., &amp; Caruana, R. (2005). Predicting good probabilities with supervised learning. Proceedings of the 22nd International Conference on Machine Learning (ICML), 625–632. https://doi.org/10.1145/1102351.1102430</w:t>
      </w:r>
    </w:p>
    <w:p w14:paraId="1336C1E4" w14:textId="77777777" w:rsidR="00CD5F54" w:rsidRDefault="00000000">
      <w:pPr>
        <w:spacing w:after="100"/>
        <w:ind w:left="720" w:hanging="720"/>
        <w:jc w:val="both"/>
      </w:pPr>
      <w:r>
        <w:rPr>
          <w:sz w:val="18"/>
          <w:szCs w:val="18"/>
        </w:rPr>
        <w:t>Patel, S. R., White, D. P., Malhotra, A., Stanchina, M., &amp; Ayas, N. T. (2019). Continuous positive airway pressure therapy for treating sleepiness in a diverse population with obstructive sleep apnea: results of a meta-analysis. Archives of Internal Medicine, 163(5), 565–571. https://doi.org/10.1001/archinte.163.5.565</w:t>
      </w:r>
    </w:p>
    <w:p w14:paraId="36B8F948" w14:textId="77777777" w:rsidR="00CD5F54" w:rsidRDefault="00000000">
      <w:pPr>
        <w:spacing w:after="100"/>
        <w:ind w:left="720" w:hanging="720"/>
        <w:jc w:val="both"/>
      </w:pPr>
      <w:r>
        <w:rPr>
          <w:sz w:val="18"/>
          <w:szCs w:val="18"/>
        </w:rPr>
        <w:t>Penzel, T., Kantelhardt, J. W., Bartsch, R. P., Riedl, M., Kraemer, J. F., Wessel, N., … &amp; Schöbel, C. (2016). Modulations of heart rate, ECG, and cardio-respiratory coupling observed in polysomnography. Frontiers in Physiology, 7, 460. https://doi.org/10.3389/fphys.2016.00460</w:t>
      </w:r>
    </w:p>
    <w:p w14:paraId="7140147F" w14:textId="77777777" w:rsidR="00CD5F54" w:rsidRDefault="00000000">
      <w:pPr>
        <w:spacing w:after="100"/>
        <w:ind w:left="720" w:hanging="720"/>
        <w:jc w:val="both"/>
      </w:pPr>
      <w:r>
        <w:rPr>
          <w:sz w:val="18"/>
          <w:szCs w:val="18"/>
        </w:rPr>
        <w:lastRenderedPageBreak/>
        <w:t>Saito, T., &amp; Rehmsmeier, M. (2015). The precision-recall plot is more informative than the ROC plot when evaluating binary classifiers on imbalanced datasets. PLOS ONE, 10(3), e0118432. https://doi.org/10.1371/journal.pone.0118432</w:t>
      </w:r>
    </w:p>
    <w:p w14:paraId="425F4811" w14:textId="77777777" w:rsidR="00CD5F54" w:rsidRDefault="00000000">
      <w:pPr>
        <w:spacing w:after="100"/>
        <w:ind w:left="720" w:hanging="720"/>
        <w:jc w:val="both"/>
      </w:pPr>
      <w:r>
        <w:rPr>
          <w:sz w:val="18"/>
          <w:szCs w:val="18"/>
        </w:rPr>
        <w:t>Sands, S. A., Terrill, P. I., Edwards, B. A., Taranto-Montemurro, L., Azarbarzin, A., Nguyen, A. T., … &amp; Wellman, A. (2021). Quantifying the arousal threshold using polysomnography in obstructive sleep apnea. Sleep, 41(1), zsx183. https://doi.org/10.1093/sleep/zsx183</w:t>
      </w:r>
    </w:p>
    <w:p w14:paraId="5C5C9EA6" w14:textId="77777777" w:rsidR="00CD5F54" w:rsidRDefault="00000000">
      <w:pPr>
        <w:spacing w:after="100"/>
        <w:ind w:left="720" w:hanging="720"/>
        <w:jc w:val="both"/>
        <w:rPr>
          <w:sz w:val="18"/>
          <w:szCs w:val="18"/>
        </w:rPr>
      </w:pPr>
      <w:r>
        <w:rPr>
          <w:sz w:val="18"/>
          <w:szCs w:val="18"/>
        </w:rPr>
        <w:t>Stradling, J. R., &amp; Davies, R. J. O. (2004). Sleep · 1: Obstructive sleep apnoea/hypopnoea syndrome: definitions, epidemiology, and natural history. Thorax, 59(1), 73–78. https://doi.org/10.1136/thorax.59.1.73</w:t>
      </w:r>
    </w:p>
    <w:p w14:paraId="71F644E7" w14:textId="06A8BD4E" w:rsidR="00CA79A5" w:rsidRPr="00CA79A5" w:rsidRDefault="00CA79A5">
      <w:pPr>
        <w:spacing w:after="100"/>
        <w:ind w:left="720" w:hanging="720"/>
        <w:jc w:val="both"/>
        <w:rPr>
          <w:sz w:val="18"/>
          <w:szCs w:val="18"/>
        </w:rPr>
      </w:pPr>
      <w:r w:rsidRPr="00CA79A5">
        <w:rPr>
          <w:sz w:val="18"/>
          <w:szCs w:val="18"/>
        </w:rPr>
        <w:t xml:space="preserve">Terrill, P. I. (2020). A review of approaches for analysing obstructive sleep apnoea-related patterns in pulse oximetry data. </w:t>
      </w:r>
      <w:r w:rsidRPr="00CA79A5">
        <w:rPr>
          <w:rStyle w:val="nfasis"/>
          <w:sz w:val="18"/>
          <w:szCs w:val="18"/>
        </w:rPr>
        <w:t>Respirology.</w:t>
      </w:r>
      <w:r w:rsidRPr="00CA79A5">
        <w:rPr>
          <w:sz w:val="18"/>
          <w:szCs w:val="18"/>
        </w:rPr>
        <w:t xml:space="preserve"> </w:t>
      </w:r>
      <w:hyperlink r:id="rId9" w:history="1">
        <w:r w:rsidRPr="00CA79A5">
          <w:rPr>
            <w:rStyle w:val="Hipervnculo"/>
            <w:sz w:val="18"/>
            <w:szCs w:val="18"/>
          </w:rPr>
          <w:t>https://pubmed.ncbi.nlm.nih.gov/31246376</w:t>
        </w:r>
      </w:hyperlink>
    </w:p>
    <w:p w14:paraId="683F246A" w14:textId="77777777" w:rsidR="00CD5F54" w:rsidRDefault="00000000">
      <w:pPr>
        <w:spacing w:after="100"/>
        <w:ind w:left="720" w:hanging="720"/>
        <w:jc w:val="both"/>
      </w:pPr>
      <w:r>
        <w:rPr>
          <w:sz w:val="18"/>
          <w:szCs w:val="18"/>
        </w:rPr>
        <w:t>Wasserstein, R. L., &amp; Lazar, N. A. (2016). The ASA statement on p-values: context, process, and purpose. The American Statistician, 70(2), 129–133. https://doi.org/10.1080/00031305.2016.1154108</w:t>
      </w:r>
    </w:p>
    <w:p w14:paraId="5964D5BE" w14:textId="77777777" w:rsidR="00CD5F54" w:rsidRDefault="00000000">
      <w:pPr>
        <w:spacing w:after="100"/>
        <w:ind w:left="720" w:hanging="720"/>
        <w:jc w:val="both"/>
        <w:rPr>
          <w:sz w:val="18"/>
          <w:szCs w:val="18"/>
        </w:rPr>
      </w:pPr>
      <w:r>
        <w:rPr>
          <w:sz w:val="18"/>
          <w:szCs w:val="18"/>
        </w:rPr>
        <w:t>Wellman, A., Eckert, D. J., Jordan, A. S., Edwards, B. A., Passaglia, C. L., Jackson, A. C., … &amp; White, D. P. (2011). A method for measuring and modeling the physiological traits causing obstructive sleep apnea. Journal of Applied Physiology, 110(6), 1627–1637. https://doi.org/10.1152/japplphysiol.00972.2010</w:t>
      </w:r>
    </w:p>
    <w:p w14:paraId="70C86AE8" w14:textId="4F3C20E4" w:rsidR="00CA79A5" w:rsidRPr="00CA79A5" w:rsidRDefault="00CA79A5">
      <w:pPr>
        <w:spacing w:after="100"/>
        <w:ind w:left="720" w:hanging="720"/>
        <w:jc w:val="both"/>
        <w:rPr>
          <w:sz w:val="18"/>
          <w:szCs w:val="18"/>
        </w:rPr>
      </w:pPr>
      <w:r w:rsidRPr="00CA79A5">
        <w:rPr>
          <w:sz w:val="18"/>
          <w:szCs w:val="18"/>
        </w:rPr>
        <w:t xml:space="preserve">Zhang, X., Li, F., Fang, Y., et al. (2026). Novel event-based peripheral oxygen saturation metrics provide complementary information for OSA classification. </w:t>
      </w:r>
      <w:r w:rsidRPr="00CA79A5">
        <w:rPr>
          <w:rStyle w:val="nfasis"/>
          <w:sz w:val="18"/>
          <w:szCs w:val="18"/>
        </w:rPr>
        <w:t>IEEE Transactions on Bio-Medical Engineering.</w:t>
      </w:r>
      <w:r w:rsidRPr="00CA79A5">
        <w:rPr>
          <w:sz w:val="18"/>
          <w:szCs w:val="18"/>
        </w:rPr>
        <w:t xml:space="preserve"> </w:t>
      </w:r>
      <w:hyperlink r:id="rId10" w:history="1">
        <w:r w:rsidRPr="00CA79A5">
          <w:rPr>
            <w:rStyle w:val="Hipervnculo"/>
            <w:sz w:val="18"/>
            <w:szCs w:val="18"/>
          </w:rPr>
          <w:t>https://pubmed.ncbi.nlm.nih.gov/41701586</w:t>
        </w:r>
      </w:hyperlink>
    </w:p>
    <w:sectPr w:rsidR="00CA79A5" w:rsidRPr="00CA79A5">
      <w:headerReference w:type="default" r:id="rId11"/>
      <w:footerReference w:type="default" r:id="rId12"/>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EC358" w14:textId="77777777" w:rsidR="00303459" w:rsidRDefault="00303459">
      <w:r>
        <w:separator/>
      </w:r>
    </w:p>
  </w:endnote>
  <w:endnote w:type="continuationSeparator" w:id="0">
    <w:p w14:paraId="7A7E424E" w14:textId="77777777" w:rsidR="00303459" w:rsidRDefault="00303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3E67" w14:textId="77777777" w:rsidR="00CD5F54" w:rsidRDefault="00000000">
    <w:pPr>
      <w:pBdr>
        <w:top w:val="single" w:sz="4" w:space="4" w:color="D0D8E4"/>
      </w:pBdr>
      <w:tabs>
        <w:tab w:val="right" w:pos="9026"/>
      </w:tabs>
      <w:spacing w:before="60"/>
      <w:jc w:val="right"/>
    </w:pPr>
    <w:r>
      <w:rPr>
        <w:color w:val="6B7280"/>
        <w:sz w:val="16"/>
        <w:szCs w:val="16"/>
      </w:rPr>
      <w:t>Roberto Inza · Universidad Austral · 2026</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5674E9">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5C323" w14:textId="77777777" w:rsidR="00303459" w:rsidRDefault="00303459">
      <w:r>
        <w:separator/>
      </w:r>
    </w:p>
  </w:footnote>
  <w:footnote w:type="continuationSeparator" w:id="0">
    <w:p w14:paraId="7C35E1BD" w14:textId="77777777" w:rsidR="00303459" w:rsidRDefault="00303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42C9" w14:textId="77777777" w:rsidR="00CD5F54" w:rsidRDefault="00000000">
    <w:pPr>
      <w:pBdr>
        <w:bottom w:val="single" w:sz="4" w:space="4" w:color="D0D8E4"/>
      </w:pBdr>
      <w:tabs>
        <w:tab w:val="right" w:pos="9026"/>
      </w:tabs>
      <w:spacing w:after="60"/>
    </w:pPr>
    <w:r>
      <w:rPr>
        <w:color w:val="6B7280"/>
        <w:sz w:val="16"/>
        <w:szCs w:val="16"/>
      </w:rPr>
      <w:t>Proyecto APNEA · Tesis de Maestría</w:t>
    </w:r>
    <w:r>
      <w:rPr>
        <w:sz w:val="16"/>
        <w:szCs w:val="16"/>
      </w:rPr>
      <w:tab/>
    </w:r>
    <w:r>
      <w:rPr>
        <w:i/>
        <w:iCs/>
        <w:color w:val="6B7280"/>
        <w:sz w:val="16"/>
        <w:szCs w:val="16"/>
      </w:rPr>
      <w:t>Capítulo 9 — Discusión  (v5)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253"/>
    <w:multiLevelType w:val="hybridMultilevel"/>
    <w:tmpl w:val="005ACC8C"/>
    <w:lvl w:ilvl="0" w:tplc="D56C15EE">
      <w:start w:val="1"/>
      <w:numFmt w:val="bullet"/>
      <w:lvlText w:val="●"/>
      <w:lvlJc w:val="left"/>
      <w:pPr>
        <w:ind w:left="720" w:hanging="360"/>
      </w:pPr>
    </w:lvl>
    <w:lvl w:ilvl="1" w:tplc="A1A60C4A">
      <w:start w:val="1"/>
      <w:numFmt w:val="bullet"/>
      <w:lvlText w:val="○"/>
      <w:lvlJc w:val="left"/>
      <w:pPr>
        <w:ind w:left="1440" w:hanging="360"/>
      </w:pPr>
    </w:lvl>
    <w:lvl w:ilvl="2" w:tplc="CDDC0D44">
      <w:start w:val="1"/>
      <w:numFmt w:val="bullet"/>
      <w:lvlText w:val="■"/>
      <w:lvlJc w:val="left"/>
      <w:pPr>
        <w:ind w:left="2160" w:hanging="360"/>
      </w:pPr>
    </w:lvl>
    <w:lvl w:ilvl="3" w:tplc="4EFA5576">
      <w:start w:val="1"/>
      <w:numFmt w:val="bullet"/>
      <w:lvlText w:val="●"/>
      <w:lvlJc w:val="left"/>
      <w:pPr>
        <w:ind w:left="2880" w:hanging="360"/>
      </w:pPr>
    </w:lvl>
    <w:lvl w:ilvl="4" w:tplc="0E923D90">
      <w:start w:val="1"/>
      <w:numFmt w:val="bullet"/>
      <w:lvlText w:val="○"/>
      <w:lvlJc w:val="left"/>
      <w:pPr>
        <w:ind w:left="3600" w:hanging="360"/>
      </w:pPr>
    </w:lvl>
    <w:lvl w:ilvl="5" w:tplc="456A6AE4">
      <w:start w:val="1"/>
      <w:numFmt w:val="bullet"/>
      <w:lvlText w:val="■"/>
      <w:lvlJc w:val="left"/>
      <w:pPr>
        <w:ind w:left="4320" w:hanging="360"/>
      </w:pPr>
    </w:lvl>
    <w:lvl w:ilvl="6" w:tplc="4A4CB4E8">
      <w:start w:val="1"/>
      <w:numFmt w:val="bullet"/>
      <w:lvlText w:val="●"/>
      <w:lvlJc w:val="left"/>
      <w:pPr>
        <w:ind w:left="5040" w:hanging="360"/>
      </w:pPr>
    </w:lvl>
    <w:lvl w:ilvl="7" w:tplc="DF6CCDDA">
      <w:start w:val="1"/>
      <w:numFmt w:val="bullet"/>
      <w:lvlText w:val="●"/>
      <w:lvlJc w:val="left"/>
      <w:pPr>
        <w:ind w:left="5760" w:hanging="360"/>
      </w:pPr>
    </w:lvl>
    <w:lvl w:ilvl="8" w:tplc="98C8B366">
      <w:start w:val="1"/>
      <w:numFmt w:val="bullet"/>
      <w:lvlText w:val="●"/>
      <w:lvlJc w:val="left"/>
      <w:pPr>
        <w:ind w:left="6480" w:hanging="360"/>
      </w:pPr>
    </w:lvl>
  </w:abstractNum>
  <w:num w:numId="1" w16cid:durableId="287858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F54"/>
    <w:rsid w:val="000B4FE3"/>
    <w:rsid w:val="000E63C5"/>
    <w:rsid w:val="002747B3"/>
    <w:rsid w:val="00303459"/>
    <w:rsid w:val="00360A96"/>
    <w:rsid w:val="003F2420"/>
    <w:rsid w:val="00422B20"/>
    <w:rsid w:val="004C030E"/>
    <w:rsid w:val="005674E9"/>
    <w:rsid w:val="00583CDD"/>
    <w:rsid w:val="005D41EF"/>
    <w:rsid w:val="007466BA"/>
    <w:rsid w:val="007F026F"/>
    <w:rsid w:val="008954B5"/>
    <w:rsid w:val="00940D97"/>
    <w:rsid w:val="009715B0"/>
    <w:rsid w:val="009B4C4A"/>
    <w:rsid w:val="00AE3188"/>
    <w:rsid w:val="00B10260"/>
    <w:rsid w:val="00B76DC0"/>
    <w:rsid w:val="00C1434C"/>
    <w:rsid w:val="00C31823"/>
    <w:rsid w:val="00CA79A5"/>
    <w:rsid w:val="00CD5F54"/>
    <w:rsid w:val="00D24D5B"/>
    <w:rsid w:val="00D43C8A"/>
    <w:rsid w:val="00DF7C51"/>
    <w:rsid w:val="00F53D53"/>
    <w:rsid w:val="00FA499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73D5D8A4"/>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E3A5F"/>
      <w:sz w:val="28"/>
      <w:szCs w:val="28"/>
    </w:rPr>
  </w:style>
  <w:style w:type="paragraph" w:styleId="Ttulo2">
    <w:name w:val="heading 2"/>
    <w:uiPriority w:val="9"/>
    <w:unhideWhenUsed/>
    <w:qFormat/>
    <w:pPr>
      <w:spacing w:before="240" w:after="120"/>
      <w:outlineLvl w:val="1"/>
    </w:pPr>
    <w:rPr>
      <w:b/>
      <w:bCs/>
      <w:color w:val="1E3A5F"/>
      <w:sz w:val="24"/>
      <w:szCs w:val="24"/>
    </w:rPr>
  </w:style>
  <w:style w:type="paragraph" w:styleId="Ttulo3">
    <w:name w:val="heading 3"/>
    <w:uiPriority w:val="9"/>
    <w:semiHidden/>
    <w:unhideWhenUsed/>
    <w:qFormat/>
    <w:pPr>
      <w:spacing w:before="180" w:after="80"/>
      <w:outlineLvl w:val="2"/>
    </w:pPr>
    <w:rPr>
      <w:b/>
      <w:bCs/>
      <w:color w:val="1E3A5F"/>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9715B0"/>
    <w:rPr>
      <w:b/>
      <w:bCs/>
    </w:rPr>
  </w:style>
  <w:style w:type="paragraph" w:styleId="NormalWeb">
    <w:name w:val="Normal (Web)"/>
    <w:basedOn w:val="Normal"/>
    <w:uiPriority w:val="99"/>
    <w:unhideWhenUsed/>
    <w:rsid w:val="00D24D5B"/>
    <w:pPr>
      <w:spacing w:before="100" w:beforeAutospacing="1" w:after="100" w:afterAutospacing="1"/>
    </w:pPr>
    <w:rPr>
      <w:rFonts w:ascii="Times New Roman" w:eastAsia="Times New Roman" w:hAnsi="Times New Roman" w:cs="Times New Roman"/>
      <w:sz w:val="24"/>
      <w:szCs w:val="24"/>
    </w:rPr>
  </w:style>
  <w:style w:type="character" w:customStyle="1" w:styleId="absolute">
    <w:name w:val="absolute"/>
    <w:basedOn w:val="Fuentedeprrafopredeter"/>
    <w:rsid w:val="00DF7C51"/>
  </w:style>
  <w:style w:type="character" w:customStyle="1" w:styleId="inline-flex">
    <w:name w:val="inline-flex"/>
    <w:basedOn w:val="Fuentedeprrafopredeter"/>
    <w:rsid w:val="00DF7C51"/>
  </w:style>
  <w:style w:type="character" w:customStyle="1" w:styleId="transition-all">
    <w:name w:val="transition-all"/>
    <w:basedOn w:val="Fuentedeprrafopredeter"/>
    <w:rsid w:val="00DF7C51"/>
  </w:style>
  <w:style w:type="paragraph" w:customStyle="1" w:styleId="font-claude-response-body">
    <w:name w:val="font-claude-response-body"/>
    <w:basedOn w:val="Normal"/>
    <w:rsid w:val="00DF7C51"/>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DF7C5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med.ncbi.nlm.nih.gov/4071937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med.ncbi.nlm.nih.gov/36217087"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pubmed.ncbi.nlm.nih.gov/41701586" TargetMode="External"/><Relationship Id="rId4" Type="http://schemas.openxmlformats.org/officeDocument/2006/relationships/webSettings" Target="webSettings.xml"/><Relationship Id="rId9" Type="http://schemas.openxmlformats.org/officeDocument/2006/relationships/hyperlink" Target="https://pubmed.ncbi.nlm.nih.gov/31246376"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8068</Words>
  <Characters>43890</Characters>
  <Application>Microsoft Office Word</Application>
  <DocSecurity>0</DocSecurity>
  <Lines>1125</Lines>
  <Paragraphs>564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2026-05-29T01:13:00Z</dcterms:created>
  <dcterms:modified xsi:type="dcterms:W3CDTF">2026-05-29T01:13:00Z</dcterms:modified>
</cp:coreProperties>
</file>