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6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SAOS desde un único sensor portátil plantea dos problemas simultáneos: de representación, porque es necesario extraer información compacta e interpretable de millones de muestras de SpO₂, FC y movimiento sin perder la estructura que distingue pacientes y noches; y de escala, porque esas representaciones deben ser válidas sobre una cohorte con alta variabilidad intraindividual y sin polisomnografía de referencia. El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Heading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como muestra el Cap04, tiene consecuencias diagnósticas concretas.</w:t>
      </w:r>
    </w:p>
    <w:p>
      <w:pPr>
        <w:spacing w:after="160" w:line="276"/>
        <w:jc w:val="both"/>
      </w:pPr>
      <w:r>
        <w:rPr>
          <w:rFonts w:ascii="Arial" w:cs="Arial" w:eastAsia="Arial" w:hAnsi="Arial"/>
        </w:rPr>
        <w:t xml:space="preserve">La distinción entre índices de evento e índices agregados nocturnos no es abstracta: en el Cap03 se operacionaliza directamente en el diseño del pipeline. La capa Events caracteriza cada EDO de forma individual con más de veinticinco features morfológicas, el ARI y la posición temporal dentro de la noche. La capa Gold consolida esas caracterizaciones en tablas nocturnas y por paciente. Esta arquitectura dual (evento y noche como niveles de análisis simultáneos y complementarios) no es la norma en los sistemas de monitoreo domiciliario, donde habitualmente solo se reportan índices nocturnos agregados, y constituye una de las decisiones de diseño más relevantes del proyecto.</w:t>
      </w:r>
    </w:p>
    <w:p>
      <w:pPr>
        <w:pStyle w:val="Heading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Apnea–Hypopnea Index (AHI) es el índice de referencia clínica del SAOS: número de apneas e hipopneas por hora de sueño, calculado sobre señales de flujo oronasal, esfuerzo respiratorio y SpO₂ en PSG completa (Berry et al., 2012). Los umbrales AASM (leve: 5 ≤ AHI &lt; 15; moderado: 15 ≤ AHI &lt; 30; severo: AHI ≥ 30) definen el diagnóstico y orientan la terapia.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ODI3 (Oxygen Desaturation Index, umbral ≥ 3 pp) es su subrogante más utilizado en dispositivos domiciliarios: cuenta las desaturaciones de SpO₂ por hora sin requerir PSG ni técnico especializado. Su concordancia con el AHI es alta en el rango moderado-severo (correlaciones ρ &gt; 0,85 en estudios de validación frente a PSG; Masa et al., 2011; Duran-Cantolla et al., 2010), rango en el que se concentra la cohorte PAC_v2. Es importante destacar que esta concordancia implica también una limitación compartida: ambos son índices de frecuencia que cuentan eventos pero no caracterizan su forma, profundidad integrada ni respuesta autonómica. El pipeline PAC_v3 usa el ODI3 como índice de severidad nocturna de referencia, con el reconocimiento explícito de que opera como proxy del AHI en ausencia de PSG (Cap03 §3.2.1). Para la detección interna de EDOs el pipeline adopta un umbral más permisivo de ≥ 2 pp: esta elección deliberada maximiza la sensibilidad de detección y el tamaño del corpus analítico, con el costo de incluir eventos que el criterio clínico del ODI3 no contabilizaría. El ODI3 y el ODI4 se calculan como subconjuntos del corpus de 85.277 EDOs para la validación comparativa, no como umbral de detección.</w:t>
      </w:r>
    </w:p>
    <w:p>
      <w:pPr>
        <w:spacing w:after="160" w:line="276"/>
        <w:jc w:val="both"/>
      </w:pPr>
      <w:r>
        <w:rPr>
          <w:rFonts w:ascii="Arial" w:cs="Arial" w:eastAsia="Arial" w:hAnsi="Arial"/>
        </w:rPr>
        <w:t xml:space="preserve">Que un mismo umbral de ≥ 3 pp sea al mismo tiempo criterio diagnóstico clínico estándar y criterio de agrupamiento analítico en un pipeline orientado a la morfología del evento plantea una tensión metodológica relevante. Un evento que cae apenas 2,5 pp puede tener morfología, duración y respuesta autonómica comparables a uno de 3,2 pp; clasificarlo como "no evento" por razones de convención clínica implica perder información morfológica potencialmente informativa. La decisión de adoptar ≥ 2 pp como umbral de detección, reservando el ODI3 para la estratificación de severidad nocturna, es una de las elecciones de diseño que singularizan al pipeline PAC_v3 frente a los sistemas convencionales de análisis de oximetría.</w:t>
      </w:r>
    </w:p>
    <w:p>
      <w:pPr>
        <w:pStyle w:val="Heading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(Cap03 §3.3.4). Sin embargo, siguen siendo índices agregados nocturnos: integran la carga hipóxica de la noche completa pero no capturan la morfología de los eventos individuales que la generan, su distribución temporal ni la respuesta autonómica que producen.</w:t>
      </w:r>
    </w:p>
    <w:p>
      <w:pPr>
        <w:pStyle w:val="Heading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(Cap04) captura la forma de la curva SpO₂, información que está presente en la señal pero que ningún índice convencional preserva. La baseline móvil de 120 s adoptada en la detección de EDOs (Cap03 §3.3.4)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A nivel de noche: los estados PAC multiescala (Cap05)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Lo que el pipeline PAC_v3 añade, sin equivalente publicado en la literatura revisada, es preservar y explotar la estructura morfológica y dinámica que esos índices descartan. Las secciones que siguen discuten cada componente de esa estructura.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de SpO₂ no tiene precedente directo en la literatura a la escala que el Proyecto APNEA propone. Los trabajos más cercanos operan sobre índices agregados por noche (T90, ODI) o sobre características univariadas de los eventos (duración, profundidad), pero no sobre la forma completa de la curva normalizada como objeto de clustering. El enfoque adoptado en el Cap04 —PCA sobre 30 puntos de curva normalizados seguido de K-means con K = 5— es metodológicamente análogo a las técnicas de fenotipado morfológico en señales de ECG (Clifton et al., 2015) y en curvas de flujo respiratorio de PSG, pero aplicado a una escala de corpus (84.248 eventos) que excede la de cualquier estudio previo en oximetría nocturna portátil.</w:t>
      </w:r>
    </w:p>
    <w:p>
      <w:pPr>
        <w:spacing w:after="160" w:line="276"/>
        <w:jc w:val="both"/>
      </w:pPr>
      <w:r>
        <w:rPr>
          <w:rFonts w:ascii="Arial" w:cs="Arial" w:eastAsia="Arial" w:hAnsi="Arial"/>
        </w:rPr>
        <w:t xml:space="preserve">Los cinco morfotipos C1–C5 emergen con una estructura interpretable: el eje de la primera componente principal (PC1 = 62,9 % de la varianza explicada) captura fundamentalmente la profundidad de la caída de SpO₂, y el gradiente C1 → C5 representa un espectro de severidad creciente. Los morfotipos C4 y C5 —que concentran el 6,1 % de los eventos pero la fracción más alta de carga hipóxica por evento— corresponden a lo que la literatura clínica denomina apneas obstructivas prolongadas con desaturación severa. La consistencia del morfotipo dentro de un mismo paciente a lo largo de las noches (ICC inter-noche moderado) sugiere que los morfotipos capturan un rasgo relativamente estable de la fisiopatología individual, no un artefacto de la variabilidad nocturna. Este resultado es coherente con la observación de Eckert et al. (2013) de que los pacientes con SAOS difieren en sus mecanismos fisiopatológicos dominantes de forma relativamente consistente entre noches y sesiones.</w:t>
      </w:r>
    </w:p>
    <w:p>
      <w:pPr>
        <w:spacing w:after="160" w:line="276"/>
        <w:jc w:val="both"/>
      </w:pPr>
      <w:r>
        <w:rPr>
          <w:rFonts w:ascii="Arial" w:cs="Arial" w:eastAsia="Arial" w:hAnsi="Arial"/>
        </w:rPr>
        <w:t xml:space="preserve">Un hallazgo complementario del Cap04 es la distribución del intervalo inter-evento (IEI): el IEI mediano resultó de 82 segundos, con el 62,8 % de los pares de eventos consecutivos separados por menos de 2 minutos. Este patrón de agrupamiento temporal —coherente con la descripción de trenes apneicos en la literatura (Oliven et al., 2020)— tiene una implicación metodológica directa para el pipeline: la elección de un baseline móvil de 120 segundos en la detección de EDOs (Cap03 §3.3.4) no es arbitraria sino solidariamente coherente con la dinámica inter-evento observada. Un baseline más corto capturaría el efecto residual de desaturaciones previas como nivel de referencia, sobreestimando la profundidad relativa de los eventos en trenes densos; uno más largo, en cambio, se adaptaría más lentamente a los cambios crónicos de SpO₂ en pacientes con hipoxemia basal persistente. El valor de 120 s opera en el equilibrio entre ambos riesgos, y su validez empírica queda respaldada por la distribución del IEI observada en el corpus.</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Cap04.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La elección del número de estados por escala —K = 7 para escala S, K = 5 para M, K = 4 para L— fue guiada por criterios de silhouette y estabilidad entre inicializaciones, no por analogía con la taxonomía de estadios del sueño de la AASM. El resultado es que los estados PAC no se mapean directamente a los estadios clásicos (N1, N2, N3, REM), pero sí correlacionan con índices de severidad de manera diferencial: S4 con ODI3 (ρ = +0,690), M1 con T90 (ρ = +0,744), L0 con T90 (ρ = +0,705). Esta especialización funcional sugiere que los estados PAC capturan dimensiones de la fisiología nocturna que los estadios del sueño convencionales no sintetizan, porque los estadios AASM fueron definidos con criterios de actividad cortical, no de severidad hipóxica o reactividad autonómica.</w:t>
      </w:r>
    </w:p>
    <w:p>
      <w:pPr>
        <w:pStyle w:val="Heading2"/>
        <w:spacing w:after="120" w:before="240"/>
      </w:pPr>
      <w:r>
        <w:rPr>
          <w:rFonts w:ascii="Arial" w:cs="Arial" w:eastAsia="Arial" w:hAnsi="Arial"/>
          <w:b/>
          <w:bCs/>
          <w:color w:val="1E3A5F"/>
          <w:sz w:val="24"/>
          <w:szCs w:val="24"/>
        </w:rPr>
        <w:t xml:space="preserve">9.3.2  Especialización funcional: el hallazgo central del Cap05</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Cap05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24 features PAC (21 fracciones de estados más 3 entropías de transición) captura esa estructura de manera compacta, sin requerir anotación manual de eventos ni clasificación de estadios de sueño.</w:t>
      </w:r>
    </w:p>
    <w:p>
      <w:pPr>
        <w:spacing w:after="160" w:line="276"/>
        <w:jc w:val="both"/>
      </w:pPr>
      <w:r>
        <w:rPr>
          <w:rFonts w:ascii="Arial" w:cs="Arial" w:eastAsia="Arial" w:hAnsi="Arial"/>
        </w:rPr>
        <w:t xml:space="preserve">Una dimensión adicional del vector de features PAC que merece discusión interpretativa es la entropía de distribución de estados por escala. Las noches de alta carga hipóxica exhiben, en promedio, menor entropía que las noches sin carga: el sistema fisiológico adopta un patrón más estereotipado y predecible, concentrando el tiempo en un subconjunto reducido de estados (M1 en escala M, L0 en escala L). Esta asociación entre baja entropía y alta severidad es coherente con la literatura sobre reducción de la variabilidad de la frecuencia cardíaca en SAOS severo (Narkiewicz &amp; Somers, 2003), donde la hipoxemia recurrente se asocia a menor flexibilidad adaptativa del sistema autonómico. El número de transiciones entre estados —tercera familia de features PAC— complementa la entropía capturando la fragmentación dinámica de la noche independientemente de cuáles estados dominan.</w:t>
      </w:r>
    </w:p>
    <w:p>
      <w:pPr>
        <w:spacing w:after="160" w:line="276"/>
        <w:jc w:val="both"/>
      </w:pPr>
      <w:r>
        <w:rPr>
          <w:rFonts w:ascii="Arial" w:cs="Arial" w:eastAsia="Arial" w:hAnsi="Arial"/>
        </w:rPr>
        <w:t xml:space="preserve">El clustering nocturno multiescala (K = 3, Cap05 §5.6.1) aporta un hallazgo adicional relevante para la comprensión del ARI: los tres fenotipos nocturnos identificados —baja severidad, severidad moderada y alta carga hipóxica— se diferencian claramente en las fracciones de estados M y L y en los índices de severidad clínica, pero presentan valores de ARI prácticamente idénticos entre clusters. Este resultado confirma, a nivel de noche completa, el hallazgo de nivel de evento discutido en §9.2.2: la reactividad autonómica no es función de la carga hipóxica acumulada durante la noche, sino una propiedad del sistema cardiovascular del paciente que se expresa de forma transversal a través de todo el perfil nocturno. PAC States captura la severidad; el ARI captura la reactividad; y ambos describen dimensiones ortogonales del fenotipo.</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APNEA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análisis de trayectorias nocturnas (K = 3, Cap06 §6.7) materializa esta perspectiva: los tres fenotipos de trayectoria (Estable-Protector, Carga Intermedia, Carga Hipóxica Alta) no describen pacientes distintos sino noches distintas de los mismos pacientes. El hallazgo de que el fenotipo de Carga Hipóxica Alta (CHA) aparece con frecuencia en pacientes clasificados como SAOS moderado según su ODI3 nocturno medio es particularmente relevante: implica que algunos pacientes moderados tienen noches puntualmente severas que el promedio enmascara, y que esas noches podrían ser identificadas prospectivamente mediante las representaciones PAC antes de que se consolide la carga hipóxica acumulada.</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El acoplamiento entre el estado fisiológico activo y la morfología del evento que ocurre en él es el concepto articulador del Cap06.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 La cuantificación de este acoplamiento morfotipo–estado sobre más de 80.000 eventos no tiene precedente directo en la literatura de monitoreo domiciliario del SAOS: los estudios que analizan la variabilidad evento a evento generalmente lo hacen sobre índices univariados —duración o profundidad del evento— sin conectarlos con el estado dinámico multiescala de la noche, y el enfoque del pipeline PAC_v3 hace posible esta caracterización sin instrumentación adicional ni anotación manual.</w:t>
      </w:r>
    </w:p>
    <w:p>
      <w:pPr>
        <w:spacing w:after="160" w:line="276"/>
        <w:jc w:val="both"/>
      </w:pPr>
      <w:r>
        <w:rPr>
          <w:rFonts w:ascii="Arial" w:cs="Arial" w:eastAsia="Arial" w:hAnsi="Arial"/>
        </w:rPr>
        <w:t xml:space="preserve">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prolongados. Esta inercia creciente con la escala es el fundamento fisiológico de la predicción prospectiva con horizonte de 5–15 min implementada en el Cap08.</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del Cap06 y Cap08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Los análisis del Cap06 y Cap08 representan dos preguntas analíticamente distintas. El Cap06 pregunta: dado que un evento está ocurriendo ahora, ¿cuál es su morfotipo probable y el riesgo nocturno acumulado? el Cap08 pregunta: dado el estado fisiológico ahora, ¿habrá un evento severo en los próximos H minutos? La distinción no es solo técnica: implica que el Cap08 opera sin señal de evento en curso, lo que lo hace más difícil (AUC 8 puntos menor que el obtenido en Cap06) pero también más útil clínicamente, porque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Cap08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 noche →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Un resultado interpretativo relevante del Cap08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en el Cap08 es sorprendentemente plano a lo largo de los deciles de la noche, lo que sugiere que window_position opera más como covariable de contexto que como predictor de un pico temporal sistemático.</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en el Cap06: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concepto de condición algorítmica mínima para la intervención adaptativa es central a la interpretación del Cap08.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de desarrollo de dispositivos médicos adaptativos, donde la validación analítica precede a la validación clínica (FDA, 2019). La cadena de evidencia propuesta por el Proyecto APNEA sigue esta lógica: Cap04–06 establecen que las representaciones PAC contienen información diagnóstica de valor clínico; Cap08 establece que esa información transporta contenido predictivo prospectivo;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pPr>
        <w:spacing w:after="160" w:line="276"/>
        <w:jc w:val="both"/>
      </w:pPr>
      <w:r>
        <w:rPr>
          <w:rFonts w:ascii="Arial" w:cs="Arial" w:eastAsia="Arial" w:hAnsi="Arial"/>
        </w:rPr>
        <w:t xml:space="preserve">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ρ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PAC_v2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El Proyecto APNEA establece, sobre una cohorte de 12 pacientes (8 en los módulos supervisados) y 553 noches de calidad, las siguientes proposiciones analíticas: (a) los EDOs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pPr>
        <w:spacing w:after="160" w:line="276"/>
        <w:jc w:val="both"/>
      </w:pPr>
      <w:r>
        <w:rPr>
          <w:rFonts w:ascii="Arial" w:cs="Arial" w:eastAsia="Arial" w:hAnsi="Arial"/>
        </w:rPr>
        <w:t xml:space="preserve">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resultado que más claramente condiciona la traslación clínica del Cap08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pPr>
        <w:spacing w:after="160" w:line="276"/>
        <w:jc w:val="both"/>
      </w:pPr>
      <w:r>
        <w:rPr>
          <w:rFonts w:ascii="Arial" w:cs="Arial" w:eastAsia="Arial" w:hAnsi="Arial"/>
        </w:rPr>
        <w:t xml:space="preserve">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pPr>
        <w:spacing w:after="160" w:line="276"/>
        <w:jc w:val="both"/>
      </w:pPr>
      <w:r>
        <w:rPr>
          <w:rFonts w:ascii="Arial" w:cs="Arial" w:eastAsia="Arial" w:hAnsi="Arial"/>
        </w:rPr>
        <w:t xml:space="preserve">La solución metodológica correcta requiere una de dos estrategias: (a) validación en una cohorte externa independiente, con morphotipos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PAC_v2. Esta cohorte externa es el trabajo futuro de mayor prioridad metodológica para las publicaciones T2, T3 y T4 proyectadas.</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APNEA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los modelos del Cap06 y Cap08)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La cohorte PAC_v2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del Cap06 y Cap08 producen probabilidades pobremente calibradas en términos absolutos —sobreestimación de ~4× para el modelo del Cap08—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APNEA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(Cap08), y el fenotipo de trayectoria nocturna predice el riesgo de noche de alta carga hipóxica (Cap06 §6.11).</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APNEA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Patel, S. R., White, D. P., Malhotra, A., Stanchina, M., &amp; Ayas, N. T. (2019). Continuous positive airway pressure therapy for treating sleepiness in a diverse population with obstructive sleep apnea: results of a meta-analysis. Archives of Internal Medicine, 163(5), 565–571. https://doi.org/10.1001/archinte.163.5.565</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APNEA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2026-05-28T23:10:57.689Z</dcterms:created>
  <dcterms:modified xsi:type="dcterms:W3CDTF">2026-05-28T23:10:57.690Z</dcterms:modified>
</cp:coreProperties>
</file>

<file path=docProps/custom.xml><?xml version="1.0" encoding="utf-8"?>
<Properties xmlns="http://schemas.openxmlformats.org/officeDocument/2006/custom-properties" xmlns:vt="http://schemas.openxmlformats.org/officeDocument/2006/docPropsVTypes"/>
</file>