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10</w:t>
      </w:r>
    </w:p>
    <w:p>
      <w:pPr>
        <w:spacing w:after="120" w:before="0"/>
      </w:pPr>
      <w:r>
        <w:rPr>
          <w:rFonts w:ascii="Arial" w:cs="Arial" w:eastAsia="Arial" w:hAnsi="Arial"/>
          <w:b/>
          <w:bCs/>
          <w:color w:val="1E3A5F"/>
          <w:sz w:val="36"/>
          <w:szCs w:val="36"/>
        </w:rPr>
        <w:t xml:space="preserve">Conclusiones</w:t>
      </w:r>
    </w:p>
    <w:p>
      <w:pPr>
        <w:spacing w:after="240" w:before="0"/>
      </w:pPr>
      <w:r>
        <w:rPr>
          <w:rFonts w:ascii="Arial" w:cs="Arial" w:eastAsia="Arial" w:hAnsi="Arial"/>
          <w:color w:val="6B7280"/>
          <w:sz w:val="18"/>
          <w:szCs w:val="18"/>
        </w:rPr>
        <w:t xml:space="preserve">Versión 5  ·  Mayo 2026</w:t>
      </w:r>
    </w:p>
    <w:p>
      <w:pPr>
        <w:spacing w:after="80" w:before="80" w:line="276"/>
      </w:pPr>
      <w:r>
        <w:rPr>
          <w:rFonts w:ascii="Arial" w:cs="Arial" w:eastAsia="Arial" w:hAnsi="Arial"/>
          <w:sz w:val="22"/>
          <w:szCs w:val="22"/>
        </w:rPr>
        <w:t xml:space="preserve">El Capítulo 9 situó los resultados del Proyecto PAC en el contexto de la literatura: identificó sus precedentes, articuló sus contribuciones diferenciales y delimitó sus alcances con precisión. El presente capítulo cierra la tesis sintetizando lo que el proyecto establece, cómo sus resultados responden a los objetivos planteados en el Cap01, qué publicaciones materializan sus contribuciones y qué trabajo futuro queda abierto.</w:t>
      </w:r>
    </w:p>
    <w:p>
      <w:pPr>
        <w:spacing w:after="80" w:before="80" w:line="276"/>
      </w:pPr>
      <w:r>
        <w:rPr>
          <w:rFonts w:ascii="Arial" w:cs="Arial" w:eastAsia="Arial" w:hAnsi="Arial"/>
          <w:sz w:val="22"/>
          <w:szCs w:val="22"/>
        </w:rPr>
        <w:t xml:space="preserve">La función de las conclusiones no es reiterar los resultados numéricos —esos están en los capítulos 4 al 8— sino articular su significado como conjunto. El Proyecto PAC propone que la fisiología nocturna del SAOS puede representarse, a partir de oximetría portátil domiciliaria, como un sistema dinámico estructurado con tres niveles de organización: el evento individual, la noche y el paciente. Esa representación no es un fin en sí misma sino un instrumento: su valor reside en que transporta información diagnóstica y predictiva con horizonte clínicamente útil. La cadena EDO → Estados → Acople → Fenotipia → Predicción es la columna vertebral de ese argumento.</w:t>
      </w:r>
    </w:p>
    <w:p>
      <w:pPr>
        <w:pStyle w:val="Heading2"/>
        <w:spacing w:after="120" w:before="240"/>
      </w:pPr>
      <w:r>
        <w:rPr>
          <w:rFonts w:ascii="Arial" w:cs="Arial" w:eastAsia="Arial" w:hAnsi="Arial"/>
          <w:b/>
          <w:bCs/>
          <w:color w:val="1E3A5F"/>
          <w:sz w:val="28"/>
          <w:szCs w:val="28"/>
        </w:rPr>
        <w:t xml:space="preserve">10.1  Respuesta a los objetivos específicos</w:t>
      </w:r>
    </w:p>
    <w:p>
      <w:pPr>
        <w:spacing w:after="80" w:before="80" w:line="276"/>
      </w:pPr>
      <w:r>
        <w:rPr>
          <w:rFonts w:ascii="Arial" w:cs="Arial" w:eastAsia="Arial" w:hAnsi="Arial"/>
          <w:sz w:val="22"/>
          <w:szCs w:val="22"/>
        </w:rPr>
        <w:t xml:space="preserve">El Cap01 §1.6 formuló seis objetivos específicos. Se presenta a continuación la síntesis de la respuesta que los capítulos de resultados ofrecen a cada uno.</w:t>
      </w:r>
    </w:p>
    <w:p>
      <w:pPr>
        <w:spacing w:after="0" w:before="60"/>
      </w:pPr>
      <w:r>
        <w:t xml:space="preserve"/>
      </w:r>
    </w:p>
    <w:p>
      <w:pPr>
        <w:spacing w:after="40" w:before="60"/>
      </w:pPr>
      <w:r>
        <w:rPr>
          <w:rFonts w:ascii="Arial" w:cs="Arial" w:eastAsia="Arial" w:hAnsi="Arial"/>
          <w:b/>
          <w:bCs/>
          <w:sz w:val="22"/>
          <w:szCs w:val="22"/>
        </w:rPr>
        <w:t xml:space="preserve">Objetivo 1 — Pipeline de procesamiento reproducible</w:t>
      </w:r>
    </w:p>
    <w:p>
      <w:pPr>
        <w:spacing w:after="80" w:before="80" w:line="276"/>
      </w:pPr>
      <w:r>
        <w:rPr>
          <w:rFonts w:ascii="Arial" w:cs="Arial" w:eastAsia="Arial" w:hAnsi="Arial"/>
          <w:sz w:val="22"/>
          <w:szCs w:val="22"/>
        </w:rPr>
        <w:t xml:space="preserve">Diseñar e implementar un pipeline reproducible que transforme registros crudos de oximetría domiciliaria en representaciones estructuradas y trazables. Alcanzado: el pipeline PAC_v3 implementa la arquitectura Medallion Bronze→Silver→Events→Gold sobre 560 noches de 12 pacientes, con trazabilidad por NightRecordID (hash MD5/SHA256), control de calidad no destructivo en Silver, y cinco tablas Gold que incluyen 85.277 EDOs con 25+ features geométricas y el sistema de estados PAC a tres escalas.</w:t>
      </w:r>
    </w:p>
    <w:p>
      <w:pPr>
        <w:spacing w:after="40" w:before="60"/>
      </w:pPr>
      <w:r>
        <w:rPr>
          <w:rFonts w:ascii="Arial" w:cs="Arial" w:eastAsia="Arial" w:hAnsi="Arial"/>
          <w:b/>
          <w:bCs/>
          <w:sz w:val="22"/>
          <w:szCs w:val="22"/>
        </w:rPr>
        <w:t xml:space="preserve">Objetivo 2 — Fenotipado morfológico y ARI</w:t>
      </w:r>
    </w:p>
    <w:p>
      <w:pPr>
        <w:spacing w:after="80" w:before="80" w:line="276"/>
      </w:pPr>
      <w:r>
        <w:rPr>
          <w:rFonts w:ascii="Arial" w:cs="Arial" w:eastAsia="Arial" w:hAnsi="Arial"/>
          <w:sz w:val="22"/>
          <w:szCs w:val="22"/>
        </w:rPr>
        <w:t xml:space="preserve">Caracterizar morfológicamente los EDOs mediante agrupamiento no supervisado e introducir el ARI como dimensión complementaria. Alcanzado: PCA (PC1 = 62,9 %) + K-means (K = 5, Silhouette = 0,386) sobre 84.248 curvas normalizadas identifica cinco morfotipos C1–C5; C4+C5 concentran el 6,1 % del corpus y una fracción desproporcionada de la carga hipóxica. El ARI presenta ortogonalidad con el ODI3 (ρ = 0,034), estabilidad inter-noche (ICC = 0,69/0,74) y gradiente autonómico inverso (C5 = 0,423 ± 0,104).</w:t>
      </w:r>
    </w:p>
    <w:p>
      <w:pPr>
        <w:spacing w:after="40" w:before="60"/>
      </w:pPr>
      <w:r>
        <w:rPr>
          <w:rFonts w:ascii="Arial" w:cs="Arial" w:eastAsia="Arial" w:hAnsi="Arial"/>
          <w:b/>
          <w:bCs/>
          <w:sz w:val="22"/>
          <w:szCs w:val="22"/>
        </w:rPr>
        <w:t xml:space="preserve">Objetivo 3 — PAC States multiescala</w:t>
      </w:r>
    </w:p>
    <w:p>
      <w:pPr>
        <w:spacing w:after="80" w:before="80" w:line="276"/>
      </w:pPr>
      <w:r>
        <w:rPr>
          <w:rFonts w:ascii="Arial" w:cs="Arial" w:eastAsia="Arial" w:hAnsi="Arial"/>
          <w:sz w:val="22"/>
          <w:szCs w:val="22"/>
        </w:rPr>
        <w:t xml:space="preserve">Desarrollar y validar el sistema de estados PAC multiescala. Alcanzado: sistema S (30 s, K = 7), M (5 min, K = 5) y L (30 min, K = 4) sobre ~519K ventanas de 12 pacientes. Especialización funcional emergente: S4 predice frecuencia (ρ ODI3 = +0,691), M1 predice carga hipóxica (ρ T90 = +0,744), L0 predice arquitectura global (ρ T90 = +0,705). Vector de 21 features PAC multiescala compacto e interpretable.</w:t>
      </w:r>
    </w:p>
    <w:p>
      <w:pPr>
        <w:spacing w:after="40" w:before="60"/>
      </w:pPr>
      <w:r>
        <w:rPr>
          <w:rFonts w:ascii="Arial" w:cs="Arial" w:eastAsia="Arial" w:hAnsi="Arial"/>
          <w:b/>
          <w:bCs/>
          <w:sz w:val="22"/>
          <w:szCs w:val="22"/>
        </w:rPr>
        <w:t xml:space="preserve">Objetivo 4 — Acoplamiento y modelos predictivos</w:t>
      </w:r>
    </w:p>
    <w:p>
      <w:pPr>
        <w:spacing w:after="80" w:before="80" w:line="276"/>
      </w:pPr>
      <w:r>
        <w:rPr>
          <w:rFonts w:ascii="Arial" w:cs="Arial" w:eastAsia="Arial" w:hAnsi="Arial"/>
          <w:sz w:val="22"/>
          <w:szCs w:val="22"/>
        </w:rPr>
        <w:t xml:space="preserve">Cuantificar el acoplamiento evento–estado y construir modelos predictivos validados mediante LOPO-CV. Alcanzado: V de Cramér = 0,355 (S) / 0,229 (M) / 0,194 (L); RR hasta 4,9× para S6. NB07 obtiene AUC = 0,878 (LightGBM) para predicción de evento severo y AUC = 0,905 (LR) para clasificación de riesgo nocturno. Ablación (NB06): PAC States aportan el 44,75 % de la ganancia predictiva.</w:t>
      </w:r>
    </w:p>
    <w:p>
      <w:pPr>
        <w:spacing w:after="40" w:before="60"/>
      </w:pPr>
      <w:r>
        <w:rPr>
          <w:rFonts w:ascii="Arial" w:cs="Arial" w:eastAsia="Arial" w:hAnsi="Arial"/>
          <w:b/>
          <w:bCs/>
          <w:sz w:val="22"/>
          <w:szCs w:val="22"/>
        </w:rPr>
        <w:t xml:space="preserve">Objetivo 5 — Aplicación clínica interactiva</w:t>
      </w:r>
    </w:p>
    <w:p>
      <w:pPr>
        <w:spacing w:after="80" w:before="80" w:line="276"/>
      </w:pPr>
      <w:r>
        <w:rPr>
          <w:rFonts w:ascii="Arial" w:cs="Arial" w:eastAsia="Arial" w:hAnsi="Arial"/>
          <w:sz w:val="22"/>
          <w:szCs w:val="22"/>
        </w:rPr>
        <w:t xml:space="preserve">Desarrollar una aplicación clínica interactiva sobre registros domiciliarios del SOMNI 6000. Alcanzado en su implementación funcional (inferencia morfotipo + estados PAC + score de riesgo + informes asistidos por IA operativa sobre PAC_v3); documentación académica del Cap07 pendiente de redacción.</w:t>
      </w:r>
    </w:p>
    <w:p>
      <w:pPr>
        <w:spacing w:after="40" w:before="60"/>
      </w:pPr>
      <w:r>
        <w:rPr>
          <w:rFonts w:ascii="Arial" w:cs="Arial" w:eastAsia="Arial" w:hAnsi="Arial"/>
          <w:b/>
          <w:bCs/>
          <w:sz w:val="22"/>
          <w:szCs w:val="22"/>
        </w:rPr>
        <w:t xml:space="preserve">Objetivo 6 — Predicción prospectiva con margen temporal</w:t>
      </w:r>
    </w:p>
    <w:p>
      <w:pPr>
        <w:spacing w:after="80" w:before="80" w:line="276"/>
      </w:pPr>
      <w:r>
        <w:rPr>
          <w:rFonts w:ascii="Arial" w:cs="Arial" w:eastAsia="Arial" w:hAnsi="Arial"/>
          <w:sz w:val="22"/>
          <w:szCs w:val="22"/>
        </w:rPr>
        <w:t xml:space="preserve">Implementar y evaluar un sistema de predicción prospectiva con horizonte clínico. Alcanzado: NB08 sobre 452.955 ventanas × 4 horizontes, LOPO-CV estricto. H = 5 min óptimo: AUC = 0,821 ± 0,022, Sensibilidad = 76 %, Especificidad = 74 %, PPV = 20 %. Lead time supera el ramp-up del estimulador (~90 s) por un factor &gt; 3. Consistencia entre folds (SD &lt; 3 pts). Limitaciones de calibración y tamaño muestral discutidas en §8.7 y §9.8.</w:t>
      </w:r>
    </w:p>
    <w:p>
      <w:pPr>
        <w:pStyle w:val="Heading2"/>
        <w:spacing w:after="120" w:before="240"/>
      </w:pPr>
      <w:r>
        <w:rPr>
          <w:rFonts w:ascii="Arial" w:cs="Arial" w:eastAsia="Arial" w:hAnsi="Arial"/>
          <w:b/>
          <w:bCs/>
          <w:color w:val="1E3A5F"/>
          <w:sz w:val="28"/>
          <w:szCs w:val="28"/>
        </w:rPr>
        <w:t xml:space="preserve">10.2  Contribuciones principales</w:t>
      </w:r>
    </w:p>
    <w:p>
      <w:pPr>
        <w:spacing w:after="80" w:before="80" w:line="276"/>
      </w:pPr>
      <w:r>
        <w:t xml:space="preserve">Las contribuciones del Proyecto PAC se articulan en tres planos. En el plano científico, los resultados ofrecen evidencia preliminar de que la oximetría portátil de un único sensor podría producir representaciones fenotípicas de la fisiología nocturna comparables en complejidad a las de estudios completos de PSG para determinadas dimensiones; la introducción del ARI como dimensión ortogonal a los índices clásicos de severidad es la contribución más original. En el plano metodológico, el pipeline PAC_v3 —reproducible, trazable, con arquitectura Medallion Bronze→Gold— constituye un marco transferible a otras cohortes y trastornos de monitoreo continuo. En el plano clínico y traslacional, la evidencia analítica de la condición algorítmica mínima para una intervención adaptativa (AUC = 0,821 ± 0,022, H = 5 min) establece la base para el diseño del ensayo clínico controlado. Las secciones siguientes desarrollan cada plano.</w:t>
      </w:r>
    </w:p>
    <w:p>
      <w:pPr>
        <w:spacing w:after="0" w:before="120"/>
      </w:pPr>
      <w:r>
        <w:t xml:space="preserve"/>
      </w:r>
    </w:p>
    <w:p>
      <w:pPr>
        <w:pStyle w:val="Heading3"/>
        <w:spacing w:after="80" w:before="180"/>
      </w:pPr>
      <w:r>
        <w:rPr>
          <w:rFonts w:ascii="Arial" w:cs="Arial" w:eastAsia="Arial" w:hAnsi="Arial"/>
          <w:b/>
          <w:bCs/>
          <w:color w:val="1E3A5F"/>
          <w:sz w:val="24"/>
          <w:szCs w:val="24"/>
        </w:rPr>
        <w:t xml:space="preserve">10.2.1  Plano científico</w:t>
      </w:r>
    </w:p>
    <w:p>
      <w:pPr>
        <w:spacing w:after="80" w:before="80" w:line="276"/>
      </w:pPr>
      <w:r>
        <w:rPr>
          <w:rFonts w:ascii="Arial" w:cs="Arial" w:eastAsia="Arial" w:hAnsi="Arial"/>
          <w:sz w:val="22"/>
          <w:szCs w:val="22"/>
        </w:rPr>
        <w:t xml:space="preserve">La contribución científica central es la evidencia preliminar de que la oximetría portátil de un único sensor puede producir representaciones fenotípicas de la fisiología nocturna que hasta ahora requerían estudios completos de PSG o quedaban sin cuantificar. Esta evidencia, consistente entre los ocho pacientes de la cohorte estricta, requiere confirmación en cohorte externa antes de generalizarse. Tres aspectos son destacables por su originalidad: (1) el ARI como dimensión nueva —no tiene precedente publicado en oximetría nocturna; su ortogonalidad con el ODI3 y su estabilidad inter-noche lo posicionan como candidato para enriquecer la caracterización clínica del SAOS—; (2) la especialización funcional de los estados PAC —el resultado de que escalas distintas predicen dimensiones distintas de la severidad no estaba descrito en la literatura de análisis dinámico del sueño con sensores portátiles—; y (3) la variabilidad intraindividual como señal diagnóstica —el fenotipo de Carga Hipóxica Alta aparece en pacientes SAOS moderado, reposicionando la variabilidad noche a noche como dimensionalmente informativa.</w:t>
      </w:r>
    </w:p>
    <w:p>
      <w:pPr>
        <w:pStyle w:val="Heading3"/>
        <w:spacing w:after="80" w:before="180"/>
      </w:pPr>
      <w:r>
        <w:rPr>
          <w:rFonts w:ascii="Arial" w:cs="Arial" w:eastAsia="Arial" w:hAnsi="Arial"/>
          <w:b/>
          <w:bCs/>
          <w:color w:val="1E3A5F"/>
          <w:sz w:val="24"/>
          <w:szCs w:val="24"/>
        </w:rPr>
        <w:t xml:space="preserve">10.2.2  Plano metodológico</w:t>
      </w:r>
    </w:p>
    <w:p>
      <w:pPr>
        <w:spacing w:after="80" w:before="80" w:line="276"/>
      </w:pPr>
      <w:r>
        <w:rPr>
          <w:rFonts w:ascii="Arial" w:cs="Arial" w:eastAsia="Arial" w:hAnsi="Arial"/>
          <w:sz w:val="22"/>
          <w:szCs w:val="22"/>
        </w:rPr>
        <w:t xml:space="preserve">El pipeline PAC_v3 constituye un marco metodológico transferible para el análisis de señales fisiológicas continuas en trastornos del sueño. Sus aportes principales: arquitectura Medallion con trazabilidad completa por registro; protocolo de control de calidad no destructivo (Silver marca y delega, no excluye); definición operacional del EDO con umbral permisivo y validación quintuplicada; validación LOPO-CV a nivel de paciente; y uso de SHAP para interpretabilidad de LightGBM. Estos aportes son directamente aplicables a cohortes de otros centros y generalizables a otros trastornos del sueño.</w:t>
      </w:r>
    </w:p>
    <w:p>
      <w:pPr>
        <w:pStyle w:val="Heading3"/>
        <w:spacing w:after="80" w:before="180"/>
      </w:pPr>
      <w:r>
        <w:rPr>
          <w:rFonts w:ascii="Arial" w:cs="Arial" w:eastAsia="Arial" w:hAnsi="Arial"/>
          <w:b/>
          <w:bCs/>
          <w:color w:val="1E3A5F"/>
          <w:sz w:val="24"/>
          <w:szCs w:val="24"/>
        </w:rPr>
        <w:t xml:space="preserve">10.2.3  Plano clínico y traslacional</w:t>
      </w:r>
    </w:p>
    <w:p>
      <w:pPr>
        <w:spacing w:after="80" w:before="80" w:line="276"/>
      </w:pPr>
      <w:r>
        <w:rPr>
          <w:rFonts w:ascii="Arial" w:cs="Arial" w:eastAsia="Arial" w:hAnsi="Arial"/>
          <w:sz w:val="22"/>
          <w:szCs w:val="22"/>
        </w:rPr>
        <w:t xml:space="preserve">La contribución clínica es de dos tipos: (a) la aplicación interactiva (Cap07, en preparación) con funcionalidad central técnicamente operativa sobre PAC_v3; y (b) la evidencia analítica de la condición algorítmica mínima para una intervención terapéutica adaptativa —que la información predictiva existe, es consistente entre pacientes y tiene horizonte suficiente—. El paso siguiente —demostrar que actuar sobre esa información tiene efecto terapéutico— corresponde al ensayo clínico controlado cuyo diseño se esboza en §9.7.4 y se retoma en §10.4.</w:t>
      </w:r>
    </w:p>
    <w:p>
      <w:pPr>
        <w:pStyle w:val="Heading2"/>
        <w:spacing w:after="120" w:before="240"/>
      </w:pPr>
      <w:r>
        <w:rPr>
          <w:rFonts w:ascii="Arial" w:cs="Arial" w:eastAsia="Arial" w:hAnsi="Arial"/>
          <w:b/>
          <w:bCs/>
          <w:color w:val="1E3A5F"/>
          <w:sz w:val="28"/>
          <w:szCs w:val="28"/>
        </w:rPr>
        <w:t xml:space="preserve">10.3  Publicaciones asociadas</w:t>
      </w:r>
    </w:p>
    <w:p>
      <w:pPr>
        <w:spacing w:after="80" w:before="80" w:line="276"/>
      </w:pPr>
      <w:r>
        <w:rPr>
          <w:rFonts w:ascii="Arial" w:cs="Arial" w:eastAsia="Arial" w:hAnsi="Arial"/>
          <w:sz w:val="22"/>
          <w:szCs w:val="22"/>
        </w:rPr>
        <w:t xml:space="preserve">Los resultados se organizan en cuatro publicaciones correspondientes a los cuatro módulos analíticos del proyecto.</w:t>
      </w:r>
    </w:p>
    <w:p>
      <w:pPr>
        <w:spacing w:after="0" w:before="120"/>
      </w:pPr>
      <w:r>
        <w:t xml:space="preserve"/>
      </w:r>
    </w:p>
    <w:p>
      <w:pPr>
        <w:spacing w:after="40" w:before="60"/>
      </w:pPr>
      <w:r>
        <w:rPr>
          <w:rFonts w:ascii="Arial" w:cs="Arial" w:eastAsia="Arial" w:hAnsi="Arial"/>
          <w:b/>
          <w:bCs/>
          <w:sz w:val="20"/>
          <w:szCs w:val="20"/>
        </w:rPr>
        <w:t xml:space="preserve">Tabla 10.2. Publicaciones asociadas al Proyecto PAC.</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00"/>
        <w:gridCol w:w="1366"/>
      </w:tblGrid>
      <w:tr>
        <w:tc>
          <w:tcPr>
            <w:tcW w:type="dxa" w:w="9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Ref.</w:t>
            </w:r>
          </w:p>
        </w:tc>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Título abreviado</w:t>
            </w:r>
          </w:p>
        </w:tc>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Cubre</w:t>
            </w:r>
          </w:p>
        </w:tc>
        <w:tc>
          <w:tcPr>
            <w:tcW w:type="dxa" w:w="13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Estado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Fenotipado morfológico y ARI en eventos de desaturación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NB01–NB02</w:t>
            </w:r>
          </w:p>
        </w:tc>
        <w:tc>
          <w:tcPr>
            <w:tcW w:type="dxa" w:w="13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Enviado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PAC States: estados dinámicos multiescala de la fisiología nocturna en SAOS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NB03–NB04</w:t>
            </w:r>
          </w:p>
        </w:tc>
        <w:tc>
          <w:tcPr>
            <w:tcW w:type="dxa" w:w="13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 preparación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Acoplamiento morfotipo–estado y modelos predictivos basados en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NB05–NB07</w:t>
            </w:r>
          </w:p>
        </w:tc>
        <w:tc>
          <w:tcPr>
            <w:tcW w:type="dxa" w:w="13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 preparación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Predicción prospectiva de EDO severo con horizonte temporal clínico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NB08</w:t>
            </w:r>
          </w:p>
        </w:tc>
        <w:tc>
          <w:tcPr>
            <w:tcW w:type="dxa" w:w="13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 preparación</w:t>
            </w:r>
          </w:p>
        </w:tc>
      </w:tr>
    </w:tbl>
    <w:p>
      <w:pPr>
        <w:spacing w:after="0" w:before="120"/>
      </w:pPr>
      <w:r>
        <w:t xml:space="preserve"/>
      </w:r>
    </w:p>
    <w:p>
      <w:pPr>
        <w:spacing w:after="80" w:before="80" w:line="276"/>
      </w:pPr>
      <w:r>
        <w:rPr>
          <w:rFonts w:ascii="Arial" w:cs="Arial" w:eastAsia="Arial" w:hAnsi="Arial"/>
          <w:sz w:val="22"/>
          <w:szCs w:val="22"/>
        </w:rPr>
        <w:t xml:space="preserve">T1 (enviado, mayo 2025) cubre el fenotipado morfológico y el ARI (Cap04): morfotipos C1–C5, gradiente autonómico inverso, ortogonalidad ARI–ODI3, y descripción técnica definitiva del SOMNI 6000 y la fórmula canónica del ARI. T2 cubre los PAC States multiescala (Cap05): sistema S/M/L, especialización funcional y arquetipos de noche. T3 abarca el acoplamiento y los modelos predictivos (Cap06): V de Cramér, coupling index, resiliencia post-evento y modelos NB06–NB07. T4 presenta la predicción prospectiva (Cap08): formulación NB08, rendimiento por horizonte y análisis operacional del lead time.</w:t>
      </w:r>
    </w:p>
    <w:p>
      <w:pPr>
        <w:pStyle w:val="Heading2"/>
        <w:spacing w:after="120" w:before="240"/>
      </w:pPr>
      <w:r>
        <w:rPr>
          <w:rFonts w:ascii="Arial" w:cs="Arial" w:eastAsia="Arial" w:hAnsi="Arial"/>
          <w:b/>
          <w:bCs/>
          <w:color w:val="1E3A5F"/>
          <w:sz w:val="28"/>
          <w:szCs w:val="28"/>
        </w:rPr>
        <w:t xml:space="preserve">10.4  Trabajo futuro</w:t>
      </w:r>
    </w:p>
    <w:p>
      <w:pPr>
        <w:spacing w:after="80" w:before="80" w:line="276"/>
      </w:pPr>
      <w:r>
        <w:rPr>
          <w:rFonts w:ascii="Arial" w:cs="Arial" w:eastAsia="Arial" w:hAnsi="Arial"/>
          <w:sz w:val="22"/>
          <w:szCs w:val="22"/>
        </w:rPr>
        <w:t xml:space="preserve">La agenda de trabajo futuro se organiza en tres horizontes.</w:t>
      </w:r>
    </w:p>
    <w:p>
      <w:pPr>
        <w:pStyle w:val="Heading3"/>
        <w:spacing w:after="80" w:before="180"/>
      </w:pPr>
      <w:r>
        <w:rPr>
          <w:rFonts w:ascii="Arial" w:cs="Arial" w:eastAsia="Arial" w:hAnsi="Arial"/>
          <w:b/>
          <w:bCs/>
          <w:color w:val="1E3A5F"/>
          <w:sz w:val="24"/>
          <w:szCs w:val="24"/>
        </w:rPr>
        <w:t xml:space="preserve">10.4.1  Validación metodológica (horizonte inmediato)</w:t>
      </w:r>
    </w:p>
    <w:p>
      <w:pPr>
        <w:spacing w:after="80" w:before="80" w:line="276"/>
      </w:pPr>
      <w:r>
        <w:rPr>
          <w:rFonts w:ascii="Arial" w:cs="Arial" w:eastAsia="Arial" w:hAnsi="Arial"/>
          <w:sz w:val="22"/>
          <w:szCs w:val="22"/>
        </w:rPr>
        <w:t xml:space="preserve">(1) Cohorte externa con PSG simultánea: validar morfotipos C1–C5 y estados PAC sobre 30–50 pacientes independientes con PSG paralela, cuantificando concordancia con clasificación AASM y resolviendo la circularidad PAC. (2) Reconstrucción de clusters PAC within-fold: versión metodológicamente más rigurosa del LOPO-CV donde los modelos no supervisados se reentrenan dentro de cada fold, sin contaminación entre entrenamiento y evaluación. (3) Calibración de probabilidades: aplicación de regresión logística isotónica o Platt scaling sobre el conjunto de validación de cada fold para producir probabilidades interpretables en términos absolutos.</w:t>
      </w:r>
    </w:p>
    <w:p>
      <w:pPr>
        <w:pStyle w:val="Heading3"/>
        <w:spacing w:after="80" w:before="180"/>
      </w:pPr>
      <w:r>
        <w:rPr>
          <w:rFonts w:ascii="Arial" w:cs="Arial" w:eastAsia="Arial" w:hAnsi="Arial"/>
          <w:b/>
          <w:bCs/>
          <w:color w:val="1E3A5F"/>
          <w:sz w:val="24"/>
          <w:szCs w:val="24"/>
        </w:rPr>
        <w:t xml:space="preserve">10.4.2  Ensayo clínico controlado (horizonte experimental)</w:t>
      </w:r>
    </w:p>
    <w:p>
      <w:pPr>
        <w:spacing w:after="80" w:before="80" w:line="276"/>
      </w:pPr>
      <w:r>
        <w:rPr>
          <w:rFonts w:ascii="Arial" w:cs="Arial" w:eastAsia="Arial" w:hAnsi="Arial"/>
          <w:sz w:val="22"/>
          <w:szCs w:val="22"/>
        </w:rPr>
        <w:t xml:space="preserve">(4) Validación de la eficacia terapéutica del estimulador: cohorte de 30–50 pacientes con SAOS moderado-severo confirmado por PSG basal; fase de caracterización domiciliaria de 7–14 noches sin estimulación; asignación aleatoria a estimulación activa vs. placebo durante 4–8 semanas; evaluación de desenlaces primarios (ODI3, T90, carga hipóxica) y secundarios. (5) Calibración individualizada del umbral de activación: las primeras noches sin estimulación permiten estimar la prevalencia individual de eventos severos y ajustar el umbral de Youden, resolviendo la heterogeneidad inter-paciente (rango 20×).</w:t>
      </w:r>
    </w:p>
    <w:p>
      <w:pPr>
        <w:pStyle w:val="Heading3"/>
        <w:spacing w:after="80" w:before="180"/>
      </w:pPr>
      <w:r>
        <w:rPr>
          <w:rFonts w:ascii="Arial" w:cs="Arial" w:eastAsia="Arial" w:hAnsi="Arial"/>
          <w:b/>
          <w:bCs/>
          <w:color w:val="1E3A5F"/>
          <w:sz w:val="24"/>
          <w:szCs w:val="24"/>
        </w:rPr>
        <w:t xml:space="preserve">10.4.3  Extensión del sistema PAC (horizonte largo plazo)</w:t>
      </w:r>
    </w:p>
    <w:p>
      <w:pPr>
        <w:spacing w:after="80" w:before="80" w:line="276"/>
      </w:pPr>
      <w:r>
        <w:rPr>
          <w:rFonts w:ascii="Arial" w:cs="Arial" w:eastAsia="Arial" w:hAnsi="Arial"/>
          <w:sz w:val="22"/>
          <w:szCs w:val="22"/>
        </w:rPr>
        <w:t xml:space="preserve">(6) Integración de señales adicionales (temperatura periférica, impedancia transtorácica, HRV en alta resolución) para enriquecer las features de estados y morfotipos sin modificar la arquitectura del pipeline. (7) Extensión a otras poblaciones y trastornos: la metodología es agnóstica al diagnóstico y directamente aplicable a síndrome de piernas inquietas, insuficiencia cardíaca con apnea central y narcolepsia con actigrafía. (8) Modelos nativamente secuenciales para NB08 (LSTM, TCN, Transformers) que podrían mejorar el AUC en horizontes cortos (H = 2 min) donde la forma de la señal inmediatamente previa al evento contiene más información que las features agregadas.</w:t>
      </w:r>
    </w:p>
    <w:p>
      <w:pPr>
        <w:pStyle w:val="Heading2"/>
        <w:spacing w:after="120" w:before="240"/>
      </w:pPr>
      <w:r>
        <w:rPr>
          <w:rFonts w:ascii="Arial" w:cs="Arial" w:eastAsia="Arial" w:hAnsi="Arial"/>
          <w:b/>
          <w:bCs/>
          <w:color w:val="1E3A5F"/>
          <w:sz w:val="28"/>
          <w:szCs w:val="28"/>
        </w:rPr>
        <w:t xml:space="preserve">10.5  Reflexión final</w:t>
      </w:r>
    </w:p>
    <w:p>
      <w:pPr>
        <w:spacing w:after="80" w:before="80" w:line="276"/>
      </w:pPr>
      <w:r>
        <w:rPr>
          <w:rFonts w:ascii="Arial" w:cs="Arial" w:eastAsia="Arial" w:hAnsi="Arial"/>
          <w:sz w:val="22"/>
          <w:szCs w:val="22"/>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80" w:before="80" w:line="276"/>
      </w:pPr>
      <w:r>
        <w:rPr>
          <w:rFonts w:ascii="Arial" w:cs="Arial" w:eastAsia="Arial" w:hAnsi="Arial"/>
          <w:sz w:val="22"/>
          <w:szCs w:val="22"/>
        </w:rPr>
        <w:t xml:space="preserve">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553 noches de calidad, validación LOPO-CV estricta, y un sistema de representaciones multiescala construido sobre tres señales a 1 Hz.</w:t>
      </w:r>
    </w:p>
    <w:p>
      <w:pPr>
        <w:spacing w:after="80" w:before="80" w:line="276"/>
      </w:pPr>
      <w:r>
        <w:rPr>
          <w:rFonts w:ascii="Arial" w:cs="Arial" w:eastAsia="Arial" w:hAnsi="Arial"/>
          <w:sz w:val="22"/>
          <w:szCs w:val="22"/>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pPr>
        <w:spacing w:after="80" w:before="80" w:line="276"/>
      </w:pPr>
      <w:r>
        <w:rPr>
          <w:rFonts w:ascii="Arial" w:cs="Arial" w:eastAsia="Arial" w:hAnsi="Arial"/>
          <w:sz w:val="22"/>
          <w:szCs w:val="22"/>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w:t>
      </w:r>
    </w:p>
    <w:p>
      <w:pPr>
        <w:spacing w:after="80" w:before="80" w:line="276"/>
      </w:pPr>
      <w:r>
        <w:rPr>
          <w:rFonts w:ascii="Arial" w:cs="Arial" w:eastAsia="Arial" w:hAnsi="Arial"/>
          <w:sz w:val="22"/>
          <w:szCs w:val="22"/>
        </w:rPr>
        <w:t xml:space="preserve">Lo que queda por hacer es, en parte, técnico —cohorte externa, ensayo controlado, calibración de probabilidades— y en parte conceptual: explorar si la arquitectura PAC, aplicada a otras poblaciones y otros trastornos de monitoreo continuo, produce representaciones igualmente estructuradas. Esa pregunta excede el alcance de esta tesis, pero la metodología para responderla está, en sus elementos esenciales, contenida en el pipeline PAC_v3.</w:t>
      </w:r>
    </w:p>
    <w:p>
      <w:pPr>
        <w:spacing w:after="0" w:before="160"/>
      </w:pPr>
      <w:r>
        <w:t xml:space="preserve"/>
      </w:r>
    </w:p>
    <w:p>
      <w:pPr>
        <w:spacing w:after="60" w:before="100"/>
      </w:pPr>
      <w:r>
        <w:drawing>
          <wp:inline distT="0" distB="0" distL="0" distR="0">
            <wp:extent cx="4572000" cy="2286000"/>
            <wp:effectExtent t="0" r="0" b="0" l="0"/>
            <wp:docPr id="1" name="Fig101" descr="Cadena analítica PAC" title="Fig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86000"/>
                    </a:xfrm>
                    <a:prstGeom prst="rect">
                      <a:avLst/>
                    </a:prstGeom>
                  </pic:spPr>
                </pic:pic>
              </a:graphicData>
            </a:graphic>
          </wp:inline>
        </w:drawing>
      </w:r>
    </w:p>
    <w:p>
      <w:pPr>
        <w:spacing w:after="40" w:before="60"/>
      </w:pPr>
      <w:r>
        <w:rPr>
          <w:rFonts w:ascii="Arial" w:cs="Arial" w:eastAsia="Arial" w:hAnsi="Arial"/>
          <w:b/>
          <w:bCs/>
          <w:sz w:val="20"/>
          <w:szCs w:val="20"/>
        </w:rPr>
        <w:t xml:space="preserve">Figura 10.1. Cadena analítica del Proyecto PAC: del evento de desaturación individual a la terapia adaptativa domiciliaria.</w:t>
      </w:r>
    </w:p>
    <w:p>
      <w:pPr>
        <w:spacing w:after="0" w:before="120"/>
      </w:pPr>
      <w:r>
        <w:t xml:space="preserve"/>
      </w:r>
    </w:p>
    <w:p>
      <w:pPr>
        <w:spacing w:after="80" w:before="80" w:line="276"/>
      </w:pPr>
      <w:r>
        <w:rPr>
          <w:rFonts w:ascii="Arial" w:cs="Arial" w:eastAsia="Arial" w:hAnsi="Arial"/>
          <w:sz w:val="22"/>
          <w:szCs w:val="22"/>
        </w:rPr>
        <w:t xml:space="preserve">El Proyecto PAC propone que la fisiología nocturna del SAOS no debe entenderse como una colección de eventos aislados, sino como un sistema dinámico multiescala cuya estructura puede ser observada, caracterizada y eventualmente modificada mediante monitoreo continuo domiciliario.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10 — Conclusiones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71b9ee28084605eb9d6b45ccb04f8011d78df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2026-05-30T18:06:27.473Z</dcterms:created>
  <dcterms:modified xsi:type="dcterms:W3CDTF">2026-05-30T18:06:27.473Z</dcterms:modified>
</cp:coreProperties>
</file>

<file path=docProps/custom.xml><?xml version="1.0" encoding="utf-8"?>
<Properties xmlns="http://schemas.openxmlformats.org/officeDocument/2006/custom-properties" xmlns:vt="http://schemas.openxmlformats.org/officeDocument/2006/docPropsVTypes"/>
</file>