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 xml:space="preserve">Tabla 10.1. Respuesta a los seis objetivos específicos del Cap01 §1.6.</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V de Cramér = 0,355/0,229/0,194; RR hasta 4,9× (S6). Resiliencia post-evento: 43,3 % → 12,3 % → 1,3 % (S/M/L). NB07: AUC evento = 0,878 (LightGBM), AUC noche = 0,905 (LR).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Enviado (mayo 2025)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 xml:space="preserve">Nota. T1 (enviado):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