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6B7280"/>
          <w:sz w:val="20"/>
          <w:szCs w:val="20"/>
        </w:rPr>
        <w:t xml:space="preserve">CAPÍTULO 10</w:t>
      </w:r>
    </w:p>
    <w:p>
      <w:pPr>
        <w:spacing w:after="80" w:before="0"/>
      </w:pPr>
      <w:r>
        <w:rPr>
          <w:rFonts w:ascii="Aptos" w:cs="Aptos" w:eastAsia="Aptos" w:hAnsi="Aptos"/>
          <w:b/>
          <w:bCs/>
          <w:color w:val="1E3A5F"/>
          <w:sz w:val="36"/>
          <w:szCs w:val="36"/>
        </w:rPr>
        <w:t xml:space="preserve">Conclusiones</w:t>
      </w:r>
    </w:p>
    <w:p>
      <w:pPr>
        <w:spacing w:after="400" w:before="0"/>
      </w:pPr>
      <w:r>
        <w:rPr>
          <w:rFonts w:ascii="Aptos" w:cs="Aptos" w:eastAsia="Aptos" w:hAnsi="Aptos"/>
          <w:color w:val="666666"/>
          <w:sz w:val="18"/>
          <w:szCs w:val="18"/>
        </w:rPr>
        <w:t xml:space="preserve">Versión 4  ·  Junio 2026</w:t>
      </w:r>
    </w:p>
    <w:p>
      <w:pPr>
        <w:spacing w:after="160" w:before="0" w:line="360"/>
        <w:jc w:val="both"/>
      </w:pPr>
      <w:r>
        <w:rPr>
          <w:rFonts w:ascii="Aptos" w:cs="Aptos" w:eastAsia="Aptos" w:hAnsi="Aptos"/>
          <w:b w:val="false"/>
          <w:bCs w:val="false"/>
          <w:sz w:val="24"/>
          <w:szCs w:val="24"/>
        </w:rPr>
        <w:t xml:space="preserve">El Capítulo 9 situó los resultados del Proyecto PAC en el contexto de la literatura e identificó sus contribuciones diferenciales. El presente capítulo cierra la tesis articulando su significado como conjunto: cómo los resultados responden a los seis objetivos del Cap01, qué publicaciones materializan sus contribuciones, qué trabajo futuro queda abierto y qué implica el proyecto para la ciencia de datos aplicada a señales biomédicas. El Proyecto PAC propone que la fisiología nocturna del SAOS puede representarse, a partir de oximetría portátil domiciliaria, como un sistema dinámico estructurado en tres niveles de organización: el evento individual, la noche y el paciente. La cadena EDO → Estados → Acople → Fenotipia → Predicción es la columna vertebral de ese argumento.</w:t>
      </w:r>
    </w:p>
    <w:p>
      <w:pPr>
        <w:pStyle w:val="Heading1"/>
        <w:spacing w:after="120" w:before="320"/>
      </w:pPr>
      <w:r>
        <w:rPr>
          <w:rFonts w:ascii="Aptos" w:cs="Aptos" w:eastAsia="Aptos" w:hAnsi="Aptos"/>
          <w:b/>
          <w:bCs/>
          <w:color w:val="1E3A5F"/>
          <w:sz w:val="26"/>
          <w:szCs w:val="26"/>
        </w:rPr>
        <w:t xml:space="preserve">10.1  Respuesta a los objetivos específicos</w:t>
      </w:r>
    </w:p>
    <w:p>
      <w:pPr>
        <w:spacing w:after="80" w:before="0" w:line="360"/>
        <w:jc w:val="both"/>
      </w:pPr>
      <w:r>
        <w:rPr>
          <w:rFonts w:ascii="Aptos" w:cs="Aptos" w:eastAsia="Aptos" w:hAnsi="Aptos"/>
          <w:b w:val="false"/>
          <w:bCs w:val="false"/>
          <w:sz w:val="24"/>
          <w:szCs w:val="24"/>
        </w:rPr>
        <w:t xml:space="preserve">Tabla 10.1. Respuesta a los seis objetivos específicos del Cap01 §1.6.</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2400"/>
        <w:gridCol w:w="6288"/>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Objetivo específico</w:t>
            </w:r>
          </w:p>
        </w:tc>
        <w:tc>
          <w:tcPr>
            <w:tcW w:type="dxa" w:w="62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Resultado principal</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1 — Pipeline reproducible</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PAC_v3 (Medallion Bronze→Gold) sobre 560 noches, 12 pacientes. NightRecordID determinístico (MD5/SHA256). 85.277 EDOs con 25+ features geométricas. Cinco tablas Gold incluyendo night_multiscale_features.parquet.</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2 — Fenotipado morfológico y ARI</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K-means K = 5 (Silhouette = 0,386) sobre 85.277 curvas PCA → morfotipos C1–C5; C4+C5 = 6,0 % del corpus, carga hipóxica desproporcionada. ρ(ARI, ODI3) = 0,034; ICC ARI = 0,69/0,74; gradiente autonómico inverso (C5 = 0,423 ± 0,104).</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3 — PAC States multiescala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Clustering independiente por escala: S (K = 7), M (K = 5), L (K = 4) sobre ~519 K ventanas. Especialización funcional emergente: S4 → ODI3 (ρ = +0,691), M1 → T90 (ρ = +0,744), S5 → ARI (ρ = +0,637). 21 features nocturnas multiescala.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4 — Acoplamiento y modelos predictivos</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V de Cramér = 0,355/0,229/0,194; RR hasta 4,9× (S6). Resiliencia post-evento: 43,3 % → 12,3 % → 1,3 % (S/M/L). NB07: AUC evento = 0,878 (LightGBM), AUC noche = 0,905 (LR, agrupado; 5/8 folds evaluables). Ablación NB06: PAC States = 44,8 % de la ganancia Gini.</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5 — Aplicación clínica interactiva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App (Streamlit): morfotipos C1–C5, estados PAC, Risk Score PAC 0–100 e Informe IA sobre registro individual en &lt; 60 s. Módulos core compartidos con pipeline de investigación (sin reimplementación paralela).</w:t>
            </w:r>
          </w:p>
        </w:tc>
      </w:tr>
      <w:tr>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6 — Predicción prospectiva</w:t>
            </w:r>
          </w:p>
        </w:tc>
        <w:tc>
          <w:tcPr>
            <w:tcW w:type="dxa" w:w="62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 H = 5 min óptimo (AUC = 0,821 ± 0,022; Sens = 76 %; Spec = 74 %; PPV = 20 %) sobre 452.955 ventanas, LOPO-CV estricto. Lead time supera el ramp-up del estimulador por factor &gt; 3. Consistencia entre folds (SD &lt; 3 pts).</w:t>
            </w:r>
          </w:p>
        </w:tc>
      </w:tr>
    </w:tbl>
    <w:p>
      <w:pPr>
        <w:spacing w:after="200" w:before="60" w:line="300"/>
      </w:pPr>
      <w:r>
        <w:rPr>
          <w:rFonts w:ascii="Aptos" w:cs="Aptos" w:eastAsia="Aptos" w:hAnsi="Aptos"/>
          <w:b w:val="false"/>
          <w:bCs w:val="false"/>
          <w:sz w:val="17"/>
          <w:szCs w:val="17"/>
        </w:rPr>
        <w:t xml:space="preserve">Nota. ICC = coeficiente de correlación intraclase; LOPO-CV = leave-one-patient-out cross-validation; PPV = valor predictivo positivo.</w:t>
      </w:r>
    </w:p>
    <w:p>
      <w:pPr>
        <w:pStyle w:val="Heading1"/>
        <w:spacing w:after="120" w:before="320"/>
      </w:pPr>
      <w:r>
        <w:rPr>
          <w:rFonts w:ascii="Aptos" w:cs="Aptos" w:eastAsia="Aptos" w:hAnsi="Aptos"/>
          <w:b/>
          <w:bCs/>
          <w:color w:val="1E3A5F"/>
          <w:sz w:val="26"/>
          <w:szCs w:val="26"/>
        </w:rPr>
        <w:t xml:space="preserve">10.2  Contribuciones principales</w:t>
      </w:r>
    </w:p>
    <w:p>
      <w:pPr>
        <w:spacing w:after="160" w:before="0" w:line="360"/>
        <w:jc w:val="both"/>
      </w:pPr>
      <w:r>
        <w:rPr>
          <w:rFonts w:ascii="Aptos" w:cs="Aptos" w:eastAsia="Aptos" w:hAnsi="Aptos"/>
          <w:b w:val="false"/>
          <w:bCs w:val="false"/>
          <w:sz w:val="24"/>
          <w:szCs w:val="24"/>
        </w:rPr>
        <w:t xml:space="preserve">En el plano científico, los resultados ofrecen evidencia preliminar de que la oximetría portátil de un único sensor puede producir representaciones fenotípicas de la fisiología nocturna que hasta ahora requerían estudios completos de PSG o quedaban sin cuantificar. Tres aspectos son destacables por su originalidad: el ARI como dimensión nueva —no registra equivalente publicado en la literatura revisada; su ortogonalidad con el ODI3 y su estabilidad inter-noche lo posicionan como candidato para enriquecer la caracterización clínica del SAOS—; la especialización funcional emergente de los estados PAC —el resultado de que escalas distintas predicen dimensiones distintas de la severidad no estaba descrito en la literatura de análisis dinámico del sueño con sensores portátiles—; y la variabilidad intraindividual como señal diagnóstica —el fenotipo de Carga Hipóxica Alta aparece en pacientes SAOS Moderado, reposicionando la variabilidad noche a noche como dimensionalmente informativa—. Esta evidencia es consistente entre los ocho pacientes de la cohorte estricta y requiere confirmación en cohorte externa antes de generalizarse.</w:t>
      </w:r>
    </w:p>
    <w:p>
      <w:pPr>
        <w:spacing w:after="160" w:before="0" w:line="360"/>
        <w:jc w:val="both"/>
      </w:pPr>
      <w:r>
        <w:rPr>
          <w:rFonts w:ascii="Aptos" w:cs="Aptos" w:eastAsia="Aptos" w:hAnsi="Aptos"/>
          <w:b w:val="false"/>
          <w:bCs w:val="false"/>
          <w:sz w:val="24"/>
          <w:szCs w:val="24"/>
        </w:rPr>
        <w:t xml:space="preserve">En el plano metodológico, el pipeline PAC_v3 constituye un marco transferible para el análisis de señales fisiológicas continuas en trastornos del sueño. Sus aportes principales: arquitectura Medallion con trazabilidad completa por registro; control de calidad no destructivo (Silver marca y delega, no excluye); definición operacional del EDO con umbral permisivo y validación quintuplicada; validación LOPO-CV a nivel de paciente; e interpretabilidad SHAP de LightGBM. La arquitectura es directamente aplicable a cohortes de otros centros y generalizable a otros trastornos de monitoreo continuo.</w:t>
      </w:r>
    </w:p>
    <w:p>
      <w:pPr>
        <w:spacing w:after="160" w:before="0" w:line="360"/>
        <w:jc w:val="both"/>
      </w:pPr>
      <w:r>
        <w:rPr>
          <w:rFonts w:ascii="Aptos" w:cs="Aptos" w:eastAsia="Aptos" w:hAnsi="Aptos"/>
          <w:b w:val="false"/>
          <w:bCs w:val="false"/>
          <w:sz w:val="24"/>
          <w:szCs w:val="24"/>
        </w:rPr>
        <w:t xml:space="preserve">En el plano clínico y traslacional, la contribución es de dos tipos: la PAC App como prueba de concepto del flujo clínico individual, con funcionalidad técnicamente operativa sobre PAC_v3; y la evidencia analítica de la condición algorítmica mínima para una intervención terapéutica adaptativa —que la información predictiva existe, es consistente entre pacientes y tiene horizonte suficiente para superar el ramp-up del estimulador—. El paso siguiente —demostrar que actuar sobre esa información tiene efecto terapéutico— corresponde al ensayo clínico controlado descrito en §10.4.</w:t>
      </w:r>
    </w:p>
    <w:p>
      <w:pPr>
        <w:pStyle w:val="Heading1"/>
        <w:spacing w:after="120" w:before="320"/>
      </w:pPr>
      <w:r>
        <w:rPr>
          <w:rFonts w:ascii="Aptos" w:cs="Aptos" w:eastAsia="Aptos" w:hAnsi="Aptos"/>
          <w:b/>
          <w:bCs/>
          <w:color w:val="1E3A5F"/>
          <w:sz w:val="26"/>
          <w:szCs w:val="26"/>
        </w:rPr>
        <w:t xml:space="preserve">10.3  Publicaciones asociadas</w:t>
      </w:r>
    </w:p>
    <w:p>
      <w:pPr>
        <w:spacing w:after="80" w:before="0" w:line="360"/>
        <w:jc w:val="both"/>
      </w:pPr>
      <w:r>
        <w:rPr>
          <w:rFonts w:ascii="Aptos" w:cs="Aptos" w:eastAsia="Aptos" w:hAnsi="Aptos"/>
          <w:b w:val="false"/>
          <w:bCs w:val="false"/>
          <w:sz w:val="24"/>
          <w:szCs w:val="24"/>
        </w:rPr>
        <w:t xml:space="preserve">Tabla 10.2. Publicaciones asociadas al Proyecto PAC.</w:t>
      </w:r>
    </w:p>
    <w:tbl>
      <w:tblPr>
        <w:tblW w:type="dxa" w:w="868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900"/>
        <w:gridCol w:w="2588"/>
      </w:tblGrid>
      <w:tr>
        <w:trPr>
          <w:tblHeader/>
        </w:trPr>
        <w:tc>
          <w:tcPr>
            <w:tcW w:type="dxa" w:w="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Ref.</w:t>
            </w:r>
          </w:p>
        </w:tc>
        <w:tc>
          <w:tcPr>
            <w:tcW w:type="dxa" w:w="36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Título abreviado</w:t>
            </w:r>
          </w:p>
        </w:tc>
        <w:tc>
          <w:tcPr>
            <w:tcW w:type="dxa" w:w="19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Cubre</w:t>
            </w:r>
          </w:p>
        </w:tc>
        <w:tc>
          <w:tcPr>
            <w:tcW w:type="dxa" w:w="2588"/>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line="320"/>
            </w:pPr>
            <w:r>
              <w:rPr>
                <w:rFonts w:ascii="Aptos" w:cs="Aptos" w:eastAsia="Aptos" w:hAnsi="Aptos"/>
                <w:b/>
                <w:bCs/>
                <w:sz w:val="18"/>
                <w:szCs w:val="18"/>
              </w:rPr>
              <w:t xml:space="preserve">Estado</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T1</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Fenotipado morfológico y ARI en eventos de desaturación nocturna</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NB01–NB02</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Enviado (junio 2026)</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T2</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PAC States: estados dinámicos multiescala de la fisiología nocturna en SAOS</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NB03–NB04</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T3</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Acoplamiento morfotipo–estado y modelos predictivos basados en PAC</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NB05–NB07</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r>
        <w:tc>
          <w:tcPr>
            <w:tcW w:type="dxa" w:w="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T4</w:t>
            </w:r>
          </w:p>
        </w:tc>
        <w:tc>
          <w:tcPr>
            <w:tcW w:type="dxa" w:w="3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Predicción prospectiva de EDO severo con horizonte temporal clínico</w:t>
            </w:r>
          </w:p>
        </w:tc>
        <w:tc>
          <w:tcPr>
            <w:tcW w:type="dxa" w:w="19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NB08</w:t>
            </w:r>
          </w:p>
        </w:tc>
        <w:tc>
          <w:tcPr>
            <w:tcW w:type="dxa" w:w="2588"/>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line="320"/>
            </w:pPr>
            <w:r>
              <w:rPr>
                <w:rFonts w:ascii="Aptos" w:cs="Aptos" w:eastAsia="Aptos" w:hAnsi="Aptos"/>
                <w:b w:val="false"/>
                <w:bCs w:val="false"/>
                <w:sz w:val="18"/>
                <w:szCs w:val="18"/>
              </w:rPr>
              <w:t xml:space="preserve">En preparación</w:t>
            </w:r>
          </w:p>
        </w:tc>
      </w:tr>
    </w:tbl>
    <w:p>
      <w:pPr>
        <w:spacing w:after="200" w:before="60" w:line="300"/>
      </w:pPr>
      <w:r>
        <w:rPr>
          <w:rFonts w:ascii="Aptos" w:cs="Aptos" w:eastAsia="Aptos" w:hAnsi="Aptos"/>
          <w:b w:val="false"/>
          <w:bCs w:val="false"/>
          <w:sz w:val="17"/>
          <w:szCs w:val="17"/>
        </w:rPr>
        <w:t>Nota. T1 (enviado a publicación, junio 2026): contiene la descripción técnica definitiva del SOMNI 6000 y la fórmula canónica del ARI. T2–T4: en preparación avanzada.</w:t>
      </w:r>
    </w:p>
    <w:p>
      <w:pPr>
        <w:pStyle w:val="Heading1"/>
        <w:spacing w:after="120" w:before="320"/>
      </w:pPr>
      <w:r>
        <w:rPr>
          <w:rFonts w:ascii="Aptos" w:cs="Aptos" w:eastAsia="Aptos" w:hAnsi="Aptos"/>
          <w:b/>
          <w:bCs/>
          <w:color w:val="1E3A5F"/>
          <w:sz w:val="26"/>
          <w:szCs w:val="26"/>
        </w:rPr>
        <w:t xml:space="preserve">10.4  Trabajo futuro</w:t>
      </w:r>
    </w:p>
    <w:p>
      <w:pPr>
        <w:spacing w:after="160" w:before="0" w:line="360"/>
        <w:jc w:val="both"/>
      </w:pPr>
      <w:r>
        <w:rPr>
          <w:rFonts w:ascii="Aptos" w:cs="Aptos" w:eastAsia="Aptos" w:hAnsi="Aptos"/>
          <w:b w:val="false"/>
          <w:bCs w:val="false"/>
          <w:sz w:val="24"/>
          <w:szCs w:val="24"/>
        </w:rPr>
        <w:t xml:space="preserve">La agenda de trabajo futuro se organiza en ocho líneas:</w:t>
      </w:r>
    </w:p>
    <w:p>
      <w:pPr>
        <w:spacing w:after="120" w:before="0" w:line="360"/>
        <w:ind w:left="360"/>
        <w:jc w:val="both"/>
      </w:pPr>
      <w:r>
        <w:rPr>
          <w:rFonts w:ascii="Aptos" w:cs="Aptos" w:eastAsia="Aptos" w:hAnsi="Aptos"/>
          <w:b w:val="false"/>
          <w:bCs w:val="false"/>
          <w:sz w:val="24"/>
          <w:szCs w:val="24"/>
        </w:rPr>
        <w:t xml:space="preserve">(1)  Cohorte externa con PSG simultánea (30–50 pacientes): validar morfotipos C1–C5 y estados PAC, cuantificar concordancia con estadios AASM y resolver la circularidad del clustering.</w:t>
      </w:r>
    </w:p>
    <w:p>
      <w:pPr>
        <w:spacing w:after="120" w:before="0" w:line="360"/>
        <w:ind w:left="360"/>
        <w:jc w:val="both"/>
      </w:pPr>
      <w:r>
        <w:rPr>
          <w:rFonts w:ascii="Aptos" w:cs="Aptos" w:eastAsia="Aptos" w:hAnsi="Aptos"/>
          <w:b w:val="false"/>
          <w:bCs w:val="false"/>
          <w:sz w:val="24"/>
          <w:szCs w:val="24"/>
        </w:rPr>
        <w:t xml:space="preserve">(2)  Reconstrucción de clusters PAC within-fold: reentrenar los modelos no supervisados dentro de cada fold LOPO-CV para eliminar la contaminación entre entrenamiento y evaluación.</w:t>
      </w:r>
    </w:p>
    <w:p>
      <w:pPr>
        <w:spacing w:after="120" w:before="0" w:line="360"/>
        <w:ind w:left="360"/>
        <w:jc w:val="both"/>
      </w:pPr>
      <w:r>
        <w:rPr>
          <w:rFonts w:ascii="Aptos" w:cs="Aptos" w:eastAsia="Aptos" w:hAnsi="Aptos"/>
          <w:b w:val="false"/>
          <w:bCs w:val="false"/>
          <w:sz w:val="24"/>
          <w:szCs w:val="24"/>
        </w:rPr>
        <w:t xml:space="preserve">(3)  Calibración de probabilidades: aplicar regresión logística isotónica o Platt scaling sobre el conjunto de validación de cada fold para producir probabilidades interpretables en términos absolutos.</w:t>
      </w:r>
    </w:p>
    <w:p>
      <w:pPr>
        <w:spacing w:after="120" w:before="0" w:line="360"/>
        <w:ind w:left="360"/>
        <w:jc w:val="both"/>
      </w:pPr>
      <w:r>
        <w:rPr>
          <w:rFonts w:ascii="Aptos" w:cs="Aptos" w:eastAsia="Aptos" w:hAnsi="Aptos"/>
          <w:b w:val="false"/>
          <w:bCs w:val="false"/>
          <w:sz w:val="24"/>
          <w:szCs w:val="24"/>
        </w:rPr>
        <w:t xml:space="preserve">(4)  Ensayo clínico controlado: 30–50 pacientes con SAOS moderado-severo confirmado por PSG basal; fase de rodaje de 7–14 noches sin estimulación para calibración individual; asignación aleatoria a estimulación activa vs. placebo durante 4–8 semanas; evaluación de ODI3, T90 y carga hipóxica como desenlaces primarios.</w:t>
      </w:r>
    </w:p>
    <w:p>
      <w:pPr>
        <w:spacing w:after="120" w:before="0" w:line="360"/>
        <w:ind w:left="360"/>
        <w:jc w:val="both"/>
      </w:pPr>
      <w:r>
        <w:rPr>
          <w:rFonts w:ascii="Aptos" w:cs="Aptos" w:eastAsia="Aptos" w:hAnsi="Aptos"/>
          <w:b w:val="false"/>
          <w:bCs w:val="false"/>
          <w:sz w:val="24"/>
          <w:szCs w:val="24"/>
        </w:rPr>
        <w:t xml:space="preserve">(5)  Calibración individualizada del umbral de activación: las primeras noches sin estimulación permiten estimar la prevalencia individual de eventos severos y ajustar el umbral de Youden, resolviendo la heterogeneidad inter-paciente (variación 20×).</w:t>
      </w:r>
    </w:p>
    <w:p>
      <w:pPr>
        <w:spacing w:after="120" w:before="0" w:line="360"/>
        <w:ind w:left="360"/>
        <w:jc w:val="both"/>
      </w:pPr>
      <w:r>
        <w:rPr>
          <w:rFonts w:ascii="Aptos" w:cs="Aptos" w:eastAsia="Aptos" w:hAnsi="Aptos"/>
          <w:b w:val="false"/>
          <w:bCs w:val="false"/>
          <w:sz w:val="24"/>
          <w:szCs w:val="24"/>
        </w:rPr>
        <w:t xml:space="preserve">(6)  Señales adicionales: temperatura periférica, impedancia transtorácica y HRV de alta resolución para enriquecer el vector de features sin modificar la arquitectura del pipeline.</w:t>
      </w:r>
    </w:p>
    <w:p>
      <w:pPr>
        <w:spacing w:after="120" w:before="0" w:line="360"/>
        <w:ind w:left="360"/>
        <w:jc w:val="both"/>
      </w:pPr>
      <w:r>
        <w:rPr>
          <w:rFonts w:ascii="Aptos" w:cs="Aptos" w:eastAsia="Aptos" w:hAnsi="Aptos"/>
          <w:b w:val="false"/>
          <w:bCs w:val="false"/>
          <w:sz w:val="24"/>
          <w:szCs w:val="24"/>
        </w:rPr>
        <w:t xml:space="preserve">(7)  Extensión a otras poblaciones y trastornos: síndrome de piernas inquietas, insuficiencia cardíaca con apnea central y narcolepsia con actigrafía, aprovechando que la metodología PAC es agnóstica al diagnóstico.</w:t>
      </w:r>
    </w:p>
    <w:p>
      <w:pPr>
        <w:spacing w:after="120" w:before="0" w:line="360"/>
        <w:ind w:left="360"/>
        <w:jc w:val="both"/>
      </w:pPr>
      <w:r>
        <w:rPr>
          <w:rFonts w:ascii="Aptos" w:cs="Aptos" w:eastAsia="Aptos" w:hAnsi="Aptos"/>
          <w:b w:val="false"/>
          <w:bCs w:val="false"/>
          <w:sz w:val="24"/>
          <w:szCs w:val="24"/>
        </w:rPr>
        <w:t xml:space="preserve">(8)  Modelos secuenciales nativos para NB08 (LSTM, TCN, Transformers): mejorar el AUC en horizontes cortos (H = 2 min) donde la forma de la señal previa al evento contiene más información que las features agregadas.</w:t>
      </w:r>
    </w:p>
    <w:p>
      <w:pPr>
        <w:spacing w:after="160" w:before="0" w:line="360"/>
        <w:jc w:val="both"/>
      </w:pPr>
      <w:r>
        <w:rPr>
          <w:rFonts w:ascii="Aptos" w:cs="Aptos" w:eastAsia="Aptos" w:hAnsi="Aptos"/>
          <w:b w:val="false"/>
          <w:bCs w:val="false"/>
          <w:sz w:val="24"/>
          <w:szCs w:val="24"/>
        </w:rPr>
        <w:t xml:space="preserve">▸ Figura complementaria en Anexo: Fig. 10.1 (cadena analítica del Proyecto PAC: del evento individual a la terapia adaptativa domiciliaria).</w:t>
      </w:r>
    </w:p>
    <w:p>
      <w:pPr>
        <w:pStyle w:val="Heading1"/>
        <w:spacing w:after="120" w:before="320"/>
      </w:pPr>
      <w:r>
        <w:rPr>
          <w:rFonts w:ascii="Aptos" w:cs="Aptos" w:eastAsia="Aptos" w:hAnsi="Aptos"/>
          <w:b/>
          <w:bCs/>
          <w:color w:val="1E3A5F"/>
          <w:sz w:val="26"/>
          <w:szCs w:val="26"/>
        </w:rPr>
        <w:t xml:space="preserve">10.5  Reflexión final</w:t>
      </w:r>
    </w:p>
    <w:p>
      <w:pPr>
        <w:spacing w:after="160" w:before="0" w:line="360"/>
        <w:jc w:val="both"/>
      </w:pPr>
      <w:r>
        <w:rPr>
          <w:rFonts w:ascii="Aptos" w:cs="Aptos" w:eastAsia="Aptos" w:hAnsi="Aptos"/>
          <w:b w:val="false"/>
          <w:bCs w:val="false"/>
          <w:sz w:val="24"/>
          <w:szCs w:val="24"/>
        </w:rPr>
        <w:t xml:space="preserve">El Proyecto PAC nació de una pregunta clínica concreta: ¿puede un único sensor portátil en el dedo de un paciente, sin infraestructura hospitalaria y sin técnico especializado, generar información suficiente para caracterizar la fisiología nocturna del SAOS con la granularidad necesaria para orientar una intervención terapéutica adaptativa?</w:t>
      </w:r>
    </w:p>
    <w:p>
      <w:pPr>
        <w:spacing w:after="160" w:before="0" w:line="360"/>
        <w:jc w:val="both"/>
      </w:pPr>
      <w:r>
        <w:rPr>
          <w:rFonts w:ascii="Aptos" w:cs="Aptos" w:eastAsia="Aptos" w:hAnsi="Aptos"/>
          <w:b w:val="false"/>
          <w:bCs w:val="false"/>
          <w:sz w:val="24"/>
          <w:szCs w:val="24"/>
        </w:rPr>
        <w:t xml:space="preserve">La respuesta que esta tesis ofrece es condicional y precisa. Condicional porque lo que el trabajo establece es la factibilidad analítica, no la eficacia terapéutica: que la información predictiva existe y tiene horizonte suficiente, no que actuar sobre ella produce el efecto clínico esperado. Precisa porque las condiciones que permiten esa respuesta están identificadas con exactitud: una cohorte de 12 pacientes, 553 noches de calidad, validación LOPO-CV estricta, y un sistema de representaciones multiescala construido sobre tres señales a 1 Hz. La pregunta con la que abrió esta tesis tiene ahora una respuesta parcial y verificable: sí, un único sensor puede hacerlo —dentro de esas condiciones, con esas métricas, para esa cohorte—, y las fronteras de esa respuesta están suficientemente delimitadas como para diseñar el paso siguiente.</w:t>
      </w:r>
    </w:p>
    <w:p>
      <w:pPr>
        <w:spacing w:after="160" w:before="0" w:line="360"/>
        <w:jc w:val="both"/>
      </w:pPr>
      <w:r>
        <w:rPr>
          <w:rFonts w:ascii="Aptos" w:cs="Aptos" w:eastAsia="Aptos" w:hAnsi="Aptos"/>
          <w:b w:val="false"/>
          <w:bCs w:val="false"/>
          <w:sz w:val="24"/>
          <w:szCs w:val="24"/>
        </w:rPr>
        <w:t xml:space="preserve">Dentro de esas condiciones, el proyecto demuestra que la fisiología nocturna tiene estructura —que no es un flujo aleatorio de hipoxemias sino un sistema dinámico organizado en estados, con morfotipos, con acoplamiento y con inercia. Esa estructura es la que hace posible la predicción: si la fisiología fuera azarosa, el estado en el momento T no diría nada sobre el momento T + 5 min. El hecho de que lo diga, con AUC = 0,821 y consistencia entre los ocho pacientes, es la evidencia de que la estructura existe y puede capturarse con oximetría domiciliaria.</w:t>
      </w:r>
    </w:p>
    <w:p>
      <w:pPr>
        <w:spacing w:after="160" w:before="0" w:line="360"/>
        <w:jc w:val="both"/>
      </w:pPr>
      <w:r>
        <w:rPr>
          <w:rFonts w:ascii="Aptos" w:cs="Aptos" w:eastAsia="Aptos" w:hAnsi="Aptos"/>
          <w:b w:val="false"/>
          <w:bCs w:val="false"/>
          <w:sz w:val="24"/>
          <w:szCs w:val="24"/>
        </w:rPr>
        <w:t xml:space="preserve">Desde el punto de vista de la Maestría en Explotación de Datos y Gestión del Conocimiento, el proyecto ilustra que las contribuciones más relevantes de la ciencia de datos aplicada a problemas biomédicos no son necesariamente los modelos de mayor AUC, sino las representaciones que permiten hacer las preguntas correctas. El ARI no es un modelo: es una pregunta —¿cuánta respuesta autonómica genera este evento por unidad de caída de SpO₂?— que antes no tenía respuesta cuantitativa sobre oximetría domiciliaria. Los estados PAC no son un clasificador: son un vocabulario que permite describir la noche como trayectoria en lugar de como promedio. La contribución metodológica central de esta tesis es, en ese sentido, de naturaleza representacional: proponer el nivel intermedio entre el índice escalar y la señal cruda como el espacio en el que la clínica y la predicción pueden dialogar productivamente. Lo que queda por hacer es, en parte, técnico y, en parte, conceptual: explorar si la arquitectura PAC, aplicada a otras poblaciones y otros trastornos de monitoreo continuo, produce representaciones igualmente estructuradas. La metodología para responderla está, en sus elementos esenciales, contenida en el pipeline PAC_v3.</w:t>
      </w:r>
    </w:p>
    <w:p>
      <w:pPr>
        <w:spacing w:after="160" w:before="0" w:line="360"/>
        <w:jc w:val="both"/>
      </w:pPr>
      <w:r>
        <w:rPr>
          <w:rFonts w:ascii="Aptos" w:cs="Aptos" w:eastAsia="Aptos" w:hAnsi="Aptos"/>
          <w:b w:val="false"/>
          <w:bCs w:val="false"/>
          <w:sz w:val="24"/>
          <w:szCs w:val="24"/>
        </w:rPr>
        <w:t xml:space="preserve">Bajo la lupa del Proyecto PAC, una noche de sueño deja de ser un número: se convierte en una trayectoria con memoria. Cada evento tiene forma propia, la respuesta del organismo a cada uno de ellos es un rasgo del individuo y no del índice, y la noche entera despliega una arquitectura dinámica que —en algunos pacientes— el sistema podría aprender a leer con suficiente anticipación para intervenir antes de que llegue a su punto más oscuro.</w:t>
      </w:r>
    </w:p>
    <w:sectPr>
      <w:headerReference w:type="default" r:id="rId7"/>
      <w:footerReference w:type="default" r:id="rId8"/>
      <w:pgSz w:w="11906" w:h="16838" w:orient="portrait"/>
      <w:pgMar w:top="1701" w:right="1418" w:bottom="1701"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spacing w:before="120"/>
      <w:jc w:val="right"/>
    </w:pPr>
    <w:r>
      <w:rPr>
        <w:rFonts w:ascii="Aptos" w:cs="Aptos" w:eastAsia="Aptos" w:hAnsi="Aptos"/>
        <w:color w:val="6B7280"/>
        <w:sz w:val="16"/>
        <w:szCs w:val="16"/>
      </w:rPr>
      <w:t xml:space="preserve">Roberto Inza · Universidad Austral · 2026   </w:t>
    </w:r>
    <w:r>
      <w:rPr>
        <w:rFonts w:ascii="Aptos" w:cs="Aptos" w:eastAsia="Aptos" w:hAnsi="Aptos"/>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9026"/>
      </w:tabs>
    </w:pPr>
    <w:r>
      <w:rPr>
        <w:rFonts w:ascii="Aptos" w:cs="Aptos" w:eastAsia="Aptos" w:hAnsi="Aptos"/>
        <w:color w:val="6B7280"/>
        <w:sz w:val="16"/>
        <w:szCs w:val="16"/>
      </w:rPr>
      <w:t xml:space="preserve">Proyecto PAC · Tesis de Maestría</w:t>
    </w:r>
    <w:r>
      <w:rPr>
        <w:sz w:val="16"/>
        <w:szCs w:val="16"/>
      </w:rPr>
      <w:t xml:space="preserve">	</w:t>
    </w:r>
    <w:r>
      <w:rPr>
        <w:rFonts w:ascii="Aptos" w:cs="Aptos" w:eastAsia="Aptos" w:hAnsi="Aptos"/>
        <w:color w:val="6B7280"/>
        <w:sz w:val="16"/>
        <w:szCs w:val="16"/>
      </w:rPr>
      <w:t xml:space="preserve">Capítulo 10 — Conclusiones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2026-06-07T01:43:22.811Z</dcterms:created>
  <dcterms:modified xsi:type="dcterms:W3CDTF">2026-06-07T01:43:22.812Z</dcterms:modified>
</cp:coreProperties>
</file>

<file path=docProps/custom.xml><?xml version="1.0" encoding="utf-8"?>
<Properties xmlns="http://schemas.openxmlformats.org/officeDocument/2006/custom-properties" xmlns:vt="http://schemas.openxmlformats.org/officeDocument/2006/docPropsVTypes"/>
</file>