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4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Heading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Heading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válidos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8 pacientes. La especialización funcional es el hallazgo central: S4 es el mejor predictor de frecuencia (ρ ODI3 = +0,690),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0,354 (S) / 0,230 (M) / 0,196 (L) (NB05, 80.353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Heading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alcanzado en su implementación funcional</w:t>
      </w:r>
      <w:r>
        <w:rPr>
          <w:rFonts w:ascii="Arial" w:cs="Arial" w:eastAsia="Arial" w:hAnsi="Arial"/>
        </w:rPr>
        <w:t xml:space="preserve">; documentación académica (Cap07) pendiente.</w:t>
      </w:r>
    </w:p>
    <w:p>
      <w:pPr>
        <w:pStyle w:val="Heading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Heading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comparable para determinadas dimensiones fisiológicas (morfología de evento, dinámica nocturna,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Heading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Heading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Heading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Heading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Heading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Heading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Heading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80"/>
      </w:pPr>
      <w:r>
        <w:rPr>
          <w:rFonts w:ascii="Arial" w:cs="Arial" w:eastAsia="Arial" w:hAnsi="Arial"/>
        </w:rPr>
        <w:t xml:space="preserve"/>
      </w:r>
    </w:p>
    <w:p>
      <w:pPr>
        <w:spacing w:after="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Figura 10.1. Cadena analítica del Proyecto PAC: del evento de desaturación individual a la terapia adaptativa domiciliaria.</w:t>
      </w:r>
    </w:p>
    <w:p>
      <w:pPr>
        <w:spacing w:after="80"/>
      </w:pPr>
      <w:r>
        <w:rPr>
          <w:rFonts w:ascii="Arial" w:cs="Arial" w:eastAsia="Arial" w:hAnsi="Arial"/>
        </w:rPr>
        <w:t xml:space="preserve"/>
      </w:r>
    </w:p>
    <w:p>
      <w:pPr>
        <w:spacing w:after="160" w:line="276"/>
        <w:jc w:val="both"/>
      </w:pPr>
      <w:r>
        <w:rPr>
          <w:rFonts w:ascii="Arial" w:cs="Arial" w:eastAsia="Arial" w:hAnsi="Arial"/>
          <w:i/>
          <w:iCs/>
          <w:color w:val="1E3A5F"/>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1b9ee28084605eb9d6b45ccb04f8011d78d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2026-05-29T04:28:26.518Z</dcterms:created>
  <dcterms:modified xsi:type="dcterms:W3CDTF">2026-05-29T04:28:26.519Z</dcterms:modified>
</cp:coreProperties>
</file>

<file path=docProps/custom.xml><?xml version="1.0" encoding="utf-8"?>
<Properties xmlns="http://schemas.openxmlformats.org/officeDocument/2006/custom-properties" xmlns:vt="http://schemas.openxmlformats.org/officeDocument/2006/docPropsVTypes"/>
</file>