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Editorial PAC 2026 — Versión 16</w:t>
      </w:r>
    </w:p>
    <w:p>
      <w:pPr>
        <w:pStyle w:val="Heading1"/>
      </w:pPr>
      <w:r>
        <w:t>1. Objetivo y alcance</w:t>
      </w:r>
    </w:p>
    <w:p>
      <w:r>
        <w:t>La presente guía establece los criterios editoriales para la tesis Proyecto PAC. Las auditorías son diagnósticas; las correcciones son implementadas manualmente por el autor y posteriormente verificadas mediante reauditoría.</w:t>
      </w:r>
    </w:p>
    <w:p>
      <w:pPr>
        <w:pStyle w:val="Heading1"/>
      </w:pPr>
      <w:r>
        <w:t>2. Formato general del documento</w:t>
      </w:r>
    </w:p>
    <w:p>
      <w:r>
        <w:t>Header: Aptos 9. Izquierda: 'Proyecto PAC · Tesis de Maestría'. Derecha: capítulo y versión en cursiva.</w:t>
        <w:br/>
        <w:t>Footer: Aptos 9. 'Roberto Inza · Universidad Austral · 2026' + número de página.</w:t>
        <w:br/>
        <w:t>Encabezado de capítulo: CAPÍTULO X (Aptos 10 gris oscuro), Título (Aptos 18 azul oscuro), Versión X · Mes Año (Aptos 9 cursiva).</w:t>
      </w:r>
    </w:p>
    <w:p>
      <w:pPr>
        <w:pStyle w:val="Heading1"/>
      </w:pPr>
      <w:r>
        <w:t>3. Convenciones tipográficas</w:t>
      </w:r>
    </w:p>
    <w:p>
      <w:r>
        <w:t>Primera mención de siglas: término completo seguido de sigla en negrita. Términos en inglés: cursiva. Latinismos: cursiva. Campos de datasets y archivos: cursiva. Variables matemáticas: cursiva. Enumeraciones conceptuales: concepto principal en negrita. Modelos (PCA, K-means, LightGBM, SHAP): sin cursiva.</w:t>
      </w:r>
    </w:p>
    <w:p>
      <w:pPr>
        <w:pStyle w:val="Heading1"/>
      </w:pPr>
      <w:r>
        <w:t>4. Convenciones numéricas y unidades</w:t>
      </w:r>
    </w:p>
    <w:p>
      <w:r>
        <w:t>Miles con punto. Decimales con coma. Porcentajes con espacio antes del símbolo %. Unidades separadas por espacio: 30 s, 5 min, 1 Hz, 10 %.</w:t>
      </w:r>
    </w:p>
    <w:p>
      <w:pPr>
        <w:pStyle w:val="Heading1"/>
      </w:pPr>
      <w:r>
        <w:t>5. Figuras y tablas</w:t>
      </w:r>
    </w:p>
    <w:p>
      <w:r>
        <w:t>Figuras: título arriba (Aptos 10 negrita). Nota debajo (Aptos 9 cursiva gris). Tablas: título arriba, notas debajo. Usar siempre 'Nota.'. Referencias cruzadas: Cap. X, Tabla X.Y, Fig. X.Y, §X.Y.Z, Anexo.</w:t>
      </w:r>
    </w:p>
    <w:p>
      <w:pPr>
        <w:pStyle w:val="Heading1"/>
      </w:pPr>
      <w:r>
        <w:t>6. Terminología PAC</w:t>
      </w:r>
    </w:p>
    <w:p>
      <w:r>
        <w:t>Mantener terminología estable: EDO, ARI, Risk Score PAC, HB, LOPO-CV. Capas PAC: Bronze→Silver→Events→Gold. Escalas PAC: S, M, L. Variables fisiológicas: SpO₂, FC, MOV. Terminología obligatoria: Estado PAC / Estados PAC. Terminología incorrecta: PAC State / PAC States. PAC State(s) constituye un error editorial y debe corregirse en capítulos, anexos, figuras, tablas, glosario y nombres de conceptos.</w:t>
      </w:r>
    </w:p>
    <w:p>
      <w:pPr>
        <w:pStyle w:val="Heading1"/>
      </w:pPr>
      <w:r>
        <w:t>7. Glosario PAC</w:t>
      </w:r>
    </w:p>
    <w:p>
      <w:r>
        <w:t>Cada concepto debe tener entrada conceptual y entrada operativa. La definición existe únicamente en la entrada operativa. Toda incorporación requiere aprobación explícita del autor. Excepción: SAOS puede redefinirse al inicio de capítulos teóricos.</w:t>
        <w:br/>
        <w:br/>
        <w:t>7.X Convención ODI: ODI se utilizará como denominación general del Índice de Desaturación de Oxígeno cuando el umbral no sea relevante. ODI3 y ODI4 se utilizarán cuando el umbral forme parte explícita del análisis. En el glosario PAC, ODI remitirá a ODI3.</w:t>
      </w:r>
    </w:p>
    <w:p>
      <w:pPr>
        <w:pStyle w:val="Heading1"/>
      </w:pPr>
      <w:r>
        <w:t>8. Procedimiento de auditoría editorial</w:t>
      </w:r>
    </w:p>
    <w:p>
      <w:r>
        <w:t>1. Checklist PAC. 2. Tabla de Hallazgos PAC. 3. Verificación Anexo B. 4. Resumen Ejecutivo. 5. Calificación. 6. Veredicto.</w:t>
      </w:r>
    </w:p>
    <w:p>
      <w:pPr>
        <w:pStyle w:val="Heading1"/>
      </w:pPr>
      <w:r>
        <w:t>9. Limitaciones de auditoría</w:t>
      </w:r>
    </w:p>
    <w:p>
      <w:r>
        <w:t>Cuando la extracción de texto no permita verificar formato se utilizará el estado 'No verificable mediante extracción de texto'.</w:t>
      </w:r>
    </w:p>
    <w:p>
      <w:pPr>
        <w:pStyle w:val="Heading1"/>
      </w:pPr>
      <w:r>
        <w:t>10. Evolución de la guía</w:t>
      </w:r>
    </w:p>
    <w:p>
      <w:r>
        <w:t>Las nuevas reglas detectadas durante auditorías deberán proponerse al autor. Sólo se incorporarán tras aprobación explícita.</w:t>
      </w:r>
    </w:p>
    <w:p>
      <w:pPr>
        <w:pStyle w:val="Heading1"/>
      </w:pPr>
      <w:r>
        <w:t>Anexo A — Checklist PAC</w:t>
      </w:r>
    </w:p>
    <w:p>
      <w:r>
        <w:t>□ Header correcto</w:t>
      </w:r>
    </w:p>
    <w:p>
      <w:r>
        <w:t>□ Footer correcto</w:t>
      </w:r>
    </w:p>
    <w:p>
      <w:r>
        <w:t>□ Siglas definidas en primera aparición</w:t>
      </w:r>
    </w:p>
    <w:p>
      <w:r>
        <w:t>□ Términos ingleses en cursiva</w:t>
      </w:r>
    </w:p>
    <w:p>
      <w:r>
        <w:t>□ Latinismos en cursiva</w:t>
      </w:r>
    </w:p>
    <w:p>
      <w:r>
        <w:t>□ Variables de datasets en cursiva</w:t>
      </w:r>
    </w:p>
    <w:p>
      <w:r>
        <w:t>□ Tablas numeradas correctamente</w:t>
      </w:r>
    </w:p>
    <w:p>
      <w:r>
        <w:t>□ Figuras numeradas correctamente</w:t>
      </w:r>
    </w:p>
    <w:p>
      <w:r>
        <w:t>□ Notas de tablas consistentes</w:t>
      </w:r>
    </w:p>
    <w:p>
      <w:r>
        <w:t>□ Notas de figuras consistentes</w:t>
      </w:r>
    </w:p>
    <w:p>
      <w:r>
        <w:t>□ Nomenclatura PAC consistente</w:t>
      </w:r>
    </w:p>
    <w:p>
      <w:r>
        <w:t>□ Cohorte strict/full consistente</w:t>
      </w:r>
    </w:p>
    <w:p>
      <w:r>
        <w:t>□ Unidades SI correctas</w:t>
      </w:r>
    </w:p>
    <w:p>
      <w:r>
        <w:t>□ Formato decimal consistente</w:t>
      </w:r>
    </w:p>
    <w:p>
      <w:r>
        <w:t>□ Referencias cruzadas válidas</w:t>
      </w:r>
    </w:p>
    <w:p>
      <w:r>
        <w:t>□ Bibliografía uniforme</w:t>
      </w:r>
    </w:p>
    <w:p>
      <w:r>
        <w:t>□ Ausencia de cambios de estilo entre capítulos</w:t>
      </w:r>
    </w:p>
    <w:p>
      <w:r>
        <w:t>□ Ausencia de redundancias</w:t>
      </w:r>
    </w:p>
    <w:p>
      <w:r>
        <w:t>□ Legibilidad adecuada</w:t>
      </w:r>
    </w:p>
    <w:p>
      <w:r>
        <w:t>□ Cumplimiento global de la Guía PAC</w:t>
      </w:r>
    </w:p>
    <w:p>
      <w:pPr>
        <w:pStyle w:val="Heading1"/>
      </w:pPr>
      <w:r>
        <w:t>Anexo B — Historial de cambios</w:t>
      </w:r>
    </w:p>
    <w:p>
      <w:r>
        <w:t>v15 — Consolidación completa de la guía editorial PAC, glosario PAC, auditorías, nomenclatura y flujo editorial.</w:t>
      </w:r>
    </w:p>
    <w:p>
      <w:r>
        <w:t>v16 — Incorporación de la convención ODI y formalización definitiva de Estados PAC como única terminología aceptada.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