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CA6DF" w14:textId="77777777" w:rsidR="00C82816" w:rsidRPr="00A95853" w:rsidRDefault="00000000" w:rsidP="005C6CE0">
      <w:pPr>
        <w:spacing w:after="120" w:line="276" w:lineRule="auto"/>
        <w:rPr>
          <w:color w:val="747474" w:themeColor="background2" w:themeShade="80"/>
          <w:sz w:val="20"/>
          <w:szCs w:val="20"/>
        </w:rPr>
      </w:pPr>
      <w:r>
        <w:rPr>
          <w:b/>
          <w:bCs/>
          <w:color w:val="747474" w:themeColor="background2" w:themeShade="80"/>
          <w:sz w:val="20"/>
          <w:szCs w:val="20"/>
        </w:rPr>
        <w:t>CAPÍTULO 3</w:t>
      </w:r>
    </w:p>
    <w:p w14:paraId="49BA933A" w14:textId="77777777" w:rsidR="00C82816" w:rsidRDefault="00000000" w:rsidP="005C6CE0">
      <w:pPr>
        <w:spacing w:line="276" w:lineRule="auto"/>
        <w:rPr>
          <w:b/>
          <w:bCs/>
          <w:color w:val="1E3A5F"/>
          <w:sz w:val="32"/>
          <w:szCs w:val="32"/>
        </w:rPr>
      </w:pPr>
      <w:r>
        <w:rPr>
          <w:b/>
          <w:bCs/>
          <w:color w:val="1E3A5F"/>
          <w:sz w:val="32"/>
          <w:szCs w:val="32"/>
        </w:rPr>
        <w:t>Materiales y Métodos</w:t>
      </w:r>
    </w:p>
    <w:p w14:paraId="1DC14D5E" w14:textId="60B8580E" w:rsidR="00A95853" w:rsidRDefault="00A95853" w:rsidP="005C6CE0">
      <w:pPr>
        <w:pBdr>
          <w:bottom w:val="single" w:sz="6" w:space="0" w:color="1E3A5F"/>
        </w:pBdr>
        <w:spacing w:after="400" w:line="276" w:lineRule="auto"/>
      </w:pPr>
      <w:r>
        <w:rPr>
          <w:i/>
          <w:iCs/>
          <w:color w:val="6B7280"/>
          <w:sz w:val="18"/>
          <w:szCs w:val="18"/>
        </w:rPr>
        <w:t>Versión 8  ·  Mayo 2026</w:t>
      </w:r>
    </w:p>
    <w:p w14:paraId="15AEE639" w14:textId="77777777" w:rsidR="00C82816" w:rsidRDefault="00000000" w:rsidP="005C6CE0">
      <w:pPr>
        <w:spacing w:after="160" w:line="276" w:lineRule="auto"/>
        <w:jc w:val="both"/>
      </w:pPr>
      <w:r>
        <w:rPr>
          <w:color w:val="000000"/>
        </w:rPr>
        <w:t>El presente capítulo describe la infraestructura de datos, los métodos analíticos y la estrategia de validación que permiten operacionalizar los conceptos desarrollados en el Capítulo 2. La exposición sigue el orden lógico del pipeline PAC_v3: desde la adquisición de señales fisiológicas domiciliarias hasta la generación de representaciones multiescala y modelos predictivos. El capítulo se organiza en ocho secciones: el diseño del estudio y las consideraciones éticas (3.1); la descripción de la cohorte y el dispositivo de adquisición (3.2); la arquitectura general del pipeline PAC_v3 y sus cuatro capas de procesamiento (3.3); el análisis morfológico y la respuesta autonómica a nivel de evento (3.4); la representación dinámica multiescala a nivel de noche mediante los estados PAC (3.5); los modelos predictivos a nivel de paciente (3.6); la predicción prospectiva con lead time clínico (3.7); y la estrategia de validación estadística transversal al proyecto (3.8).</w:t>
      </w:r>
    </w:p>
    <w:p w14:paraId="71C2DD7D" w14:textId="77777777" w:rsidR="00C82816" w:rsidRDefault="00000000" w:rsidP="005C6CE0">
      <w:pPr>
        <w:pStyle w:val="Ttulo2"/>
        <w:spacing w:line="276" w:lineRule="auto"/>
      </w:pPr>
      <w:r>
        <w:t>3.1  Diseño del estudio y consideraciones éticas</w:t>
      </w:r>
    </w:p>
    <w:p w14:paraId="5BB7FADF" w14:textId="77777777" w:rsidR="00C82816" w:rsidRDefault="00000000" w:rsidP="005C6CE0">
      <w:pPr>
        <w:spacing w:after="160" w:line="276" w:lineRule="auto"/>
        <w:jc w:val="both"/>
      </w:pPr>
      <w:r>
        <w:rPr>
          <w:color w:val="000000"/>
        </w:rPr>
        <w:t>Se realizó un análisis observacional retrospectivo de señales fisiológicas nocturnas adquiridas en entorno domiciliario, en el marco del protocolo clínico CLP-275001 v1.2 (abril de 2025). El diseño original del estudio clínico es cruzado, aleatorizado y doble ciego, y se rige por los estándares International Conference on Harmonisation — Good Clinical Practice (ICH GCP) y las regulaciones aplicables de la Food and Drug Administration (FDA) y el Instituto Nacional de Alimentos y Medicamentos (ANMAT). El análisis de datos presentado en esta tesis constituye un estudio observacional secundario sobre señales ya adquiridas en el contexto de ese protocolo, sin intervención adicional sobre los participantes.</w:t>
      </w:r>
    </w:p>
    <w:p w14:paraId="3C201D98" w14:textId="77777777" w:rsidR="00C82816" w:rsidRDefault="00000000" w:rsidP="005C6CE0">
      <w:pPr>
        <w:spacing w:after="160" w:line="276" w:lineRule="auto"/>
        <w:jc w:val="both"/>
      </w:pPr>
      <w:r>
        <w:rPr>
          <w:color w:val="000000"/>
        </w:rPr>
        <w:t>El estudio fue conducido en un marco no institucional: los participantes aceptaron el uso de sus datos de forma anónima mediante la firma de los términos y condiciones del protocolo, sin que se requiriese la intervención de un comité de ética institucional. Los datos fueron anonimizados mediante identificadores internos de paciente (user_id alfanumérico) antes de cualquier procesamiento analítico; las señales de SpO₂, frecuencia cardíaca y movimiento se utilizaron exclusivamente con fines de investigación, de acuerdo con las condiciones establecidas en el protocolo. La tesis opera sobre este corpus de datos ya anonimizados sin acceso a información clínica identificable.</w:t>
      </w:r>
    </w:p>
    <w:p w14:paraId="371C2F3B" w14:textId="77777777" w:rsidR="00C82816" w:rsidRDefault="00000000" w:rsidP="005C6CE0">
      <w:pPr>
        <w:pStyle w:val="Ttulo2"/>
        <w:spacing w:line="276" w:lineRule="auto"/>
      </w:pPr>
      <w:r>
        <w:t>3.2  Participantes y adquisición de datos</w:t>
      </w:r>
    </w:p>
    <w:p w14:paraId="4F4CAA32" w14:textId="77777777" w:rsidR="00C82816" w:rsidRDefault="00000000" w:rsidP="005C6CE0">
      <w:pPr>
        <w:pStyle w:val="Ttulo3"/>
        <w:spacing w:line="276" w:lineRule="auto"/>
      </w:pPr>
      <w:r>
        <w:t>3.2.1  Cohorte</w:t>
      </w:r>
    </w:p>
    <w:p w14:paraId="4B2A301B" w14:textId="77777777" w:rsidR="00C82816" w:rsidRDefault="00000000" w:rsidP="005C6CE0">
      <w:pPr>
        <w:spacing w:after="160" w:line="276" w:lineRule="auto"/>
        <w:jc w:val="both"/>
      </w:pPr>
      <w:r>
        <w:rPr>
          <w:color w:val="000000"/>
        </w:rPr>
        <w:t xml:space="preserve">La cohorte incluyó 12 participantes con sospecha de trastornos respiratorios del sueño, reclutados de manera que representaran el espectro clínico habitualmente referido para estudios de sueño ambulatorio. Los criterios de inclusión contemplaron: edad adulta, indicación clínica de monitoreo del sueño y capacidad para operar el dispositivo domiciliario de forma autónoma. El total de noches de registro fue de 560, aportadas por los 12 participantes a lo largo del período de seguimiento. La distribución de severidad de la cohorte, evaluada por el índice de desaturación de oxígeno al 3% (ODI3), refleja su origen clínico: predominio de categorías leve a grave, con escasa representación de la </w:t>
        <w:lastRenderedPageBreak/>
        <w:t>categoría normal, consistente con poblaciones referidas por sospecha de síndrome de apnea obstructiva del sueño (SAOS).</w:t>
      </w:r>
    </w:p>
    <w:p w14:paraId="2C8463E3" w14:textId="77777777" w:rsidR="00C82816" w:rsidRDefault="00000000" w:rsidP="005C6CE0">
      <w:pPr>
        <w:spacing w:after="160" w:line="276" w:lineRule="auto"/>
        <w:jc w:val="both"/>
      </w:pPr>
      <w:r>
        <w:rPr>
          <w:color w:val="000000"/>
        </w:rPr>
        <w:t>La variabilidad intraindividual —esto es, la existencia de noches con perfiles fisiológicos marcadamente distintos para un mismo participante— es inherente al diseño domiciliario y se trató como información analítica, no como ruido: un mismo paciente puede presentar noches con alta carga hipóxica y noches con carga mínima, según posición corporal, consumo de alcohol u otros factores contextuales. Las implicancias metodológicas de esta propiedad se desarrollan en la sección 3.8.4.</w:t>
      </w:r>
    </w:p>
    <w:p w14:paraId="1A000001" w14:textId="77777777" w:rsidR="00C82816" w:rsidRDefault="00000000" w:rsidP="005C6CE0">
      <w:pPr>
        <w:spacing w:after="100" w:line="276" w:lineRule="auto"/>
        <w:jc w:val="both"/>
      </w:pPr>
      <w:r>
        <w:rPr>
          <w:b/>
          <w:bCs/>
          <w:color w:val="1E3A5F"/>
        </w:rPr>
        <w:t>Tabla 3.1. Características demográficas y clínicas de la cohorte (n = 12).</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Pr>
      <w:tblGrid>
        <w:gridCol w:w="3609"/>
        <w:gridCol w:w="2708"/>
        <w:gridCol w:w="2709"/>
      </w:tblGrid>
      <w:tr>
        <w:trPr>
          <w:tblHeader/>
        </w:trPr>
        <w:tc>
          <w:tcPr>
            <w:tcW w:w="3609" w:type="dxa"/>
            <w:shd w:val="clear" w:color="auto" w:fill="D5E8F0"/>
          </w:tcPr>
          <w:p>
            <w:pPr>
              <w:jc w:val="center"/>
            </w:pPr>
            <w:r>
              <w:rPr>
                <w:b/>
                <w:bCs/>
                <w:color w:val="1E3A5F"/>
                <w:sz w:val="18"/>
                <w:szCs w:val="18"/>
              </w:rPr>
              <w:t>Variable</w:t>
            </w:r>
          </w:p>
        </w:tc>
        <w:tc>
          <w:tcPr>
            <w:tcW w:w="2708" w:type="dxa"/>
            <w:shd w:val="clear" w:color="auto" w:fill="D5E8F0"/>
          </w:tcPr>
          <w:p>
            <w:pPr>
              <w:jc w:val="center"/>
            </w:pPr>
            <w:r>
              <w:rPr>
                <w:b/>
                <w:bCs/>
                <w:color w:val="1E3A5F"/>
                <w:sz w:val="18"/>
                <w:szCs w:val="18"/>
              </w:rPr>
              <w:t>Valor (media ± DE o n)</w:t>
            </w:r>
          </w:p>
        </w:tc>
        <w:tc>
          <w:tcPr>
            <w:tcW w:w="2709" w:type="dxa"/>
            <w:shd w:val="clear" w:color="auto" w:fill="D5E8F0"/>
          </w:tcPr>
          <w:p>
            <w:pPr>
              <w:jc w:val="center"/>
            </w:pPr>
            <w:r>
              <w:rPr>
                <w:b/>
                <w:bCs/>
                <w:color w:val="1E3A5F"/>
                <w:sz w:val="18"/>
                <w:szCs w:val="18"/>
              </w:rPr>
              <w:t>Rango</w:t>
            </w:r>
          </w:p>
        </w:tc>
      </w:tr>
      <w:tr>
        <w:tc>
          <w:tcPr>
            <w:tcW w:w="3609" w:type="dxa"/>
          </w:tcPr>
          <w:p>
            <w:r>
              <w:rPr>
                <w:sz w:val="18"/>
                <w:szCs w:val="18"/>
              </w:rPr>
              <w:t>N participantes</w:t>
            </w:r>
          </w:p>
        </w:tc>
        <w:tc>
          <w:tcPr>
            <w:tcW w:w="2708" w:type="dxa"/>
          </w:tcPr>
          <w:p>
            <w:pPr>
              <w:jc w:val="center"/>
            </w:pPr>
            <w:r>
              <w:rPr>
                <w:sz w:val="18"/>
                <w:szCs w:val="18"/>
              </w:rPr>
              <w:t>12</w:t>
            </w:r>
          </w:p>
        </w:tc>
        <w:tc>
          <w:tcPr>
            <w:tcW w:w="2709" w:type="dxa"/>
          </w:tcPr>
          <w:p>
            <w:pPr>
              <w:jc w:val="center"/>
            </w:pPr>
            <w:r>
              <w:rPr>
                <w:sz w:val="18"/>
                <w:szCs w:val="18"/>
              </w:rPr>
              <w:t>—</w:t>
            </w:r>
          </w:p>
        </w:tc>
      </w:tr>
      <w:tr>
        <w:tc>
          <w:tcPr>
            <w:tcW w:w="3609" w:type="dxa"/>
          </w:tcPr>
          <w:p>
            <w:r>
              <w:rPr>
                <w:sz w:val="18"/>
                <w:szCs w:val="18"/>
              </w:rPr>
              <w:t>Noches totales (quality)</w:t>
            </w:r>
          </w:p>
        </w:tc>
        <w:tc>
          <w:tcPr>
            <w:tcW w:w="2708" w:type="dxa"/>
          </w:tcPr>
          <w:p>
            <w:pPr>
              <w:jc w:val="center"/>
            </w:pPr>
            <w:r>
              <w:rPr>
                <w:sz w:val="18"/>
                <w:szCs w:val="18"/>
              </w:rPr>
              <w:t>560</w:t>
            </w:r>
          </w:p>
        </w:tc>
        <w:tc>
          <w:tcPr>
            <w:tcW w:w="2709" w:type="dxa"/>
          </w:tcPr>
          <w:p>
            <w:pPr>
              <w:jc w:val="center"/>
            </w:pPr>
            <w:r>
              <w:rPr>
                <w:sz w:val="18"/>
                <w:szCs w:val="18"/>
              </w:rPr>
              <w:t>10–90 por paciente</w:t>
            </w:r>
          </w:p>
        </w:tc>
      </w:tr>
      <w:tr>
        <w:tc>
          <w:tcPr>
            <w:tcW w:w="3609" w:type="dxa"/>
          </w:tcPr>
          <w:p>
            <w:r>
              <w:rPr>
                <w:sz w:val="18"/>
                <w:szCs w:val="18"/>
              </w:rPr>
              <w:t>Sexo (M/F)</w:t>
            </w:r>
          </w:p>
        </w:tc>
        <w:tc>
          <w:tcPr>
            <w:tcW w:w="2708" w:type="dxa"/>
          </w:tcPr>
          <w:p>
            <w:pPr>
              <w:jc w:val="center"/>
            </w:pPr>
            <w:r>
              <w:rPr>
                <w:sz w:val="18"/>
                <w:szCs w:val="18"/>
              </w:rPr>
              <w:t>11 / 1</w:t>
            </w:r>
          </w:p>
        </w:tc>
        <w:tc>
          <w:tcPr>
            <w:tcW w:w="2709" w:type="dxa"/>
          </w:tcPr>
          <w:p>
            <w:pPr>
              <w:jc w:val="center"/>
            </w:pPr>
            <w:r>
              <w:rPr>
                <w:sz w:val="18"/>
                <w:szCs w:val="18"/>
              </w:rPr>
              <w:t>—</w:t>
            </w:r>
          </w:p>
        </w:tc>
      </w:tr>
      <w:tr>
        <w:tc>
          <w:tcPr>
            <w:tcW w:w="3609" w:type="dxa"/>
          </w:tcPr>
          <w:p>
            <w:r>
              <w:rPr>
                <w:sz w:val="18"/>
                <w:szCs w:val="18"/>
              </w:rPr>
              <w:t>Edad (años)</w:t>
            </w:r>
          </w:p>
        </w:tc>
        <w:tc>
          <w:tcPr>
            <w:tcW w:w="2708" w:type="dxa"/>
          </w:tcPr>
          <w:p>
            <w:pPr>
              <w:jc w:val="center"/>
            </w:pPr>
            <w:r>
              <w:rPr>
                <w:sz w:val="18"/>
                <w:szCs w:val="18"/>
              </w:rPr>
              <w:t>51,5 ± 11,3</w:t>
            </w:r>
          </w:p>
        </w:tc>
        <w:tc>
          <w:tcPr>
            <w:tcW w:w="2709" w:type="dxa"/>
          </w:tcPr>
          <w:p>
            <w:pPr>
              <w:jc w:val="center"/>
            </w:pPr>
            <w:r>
              <w:rPr>
                <w:sz w:val="18"/>
                <w:szCs w:val="18"/>
              </w:rPr>
              <w:t>32–69</w:t>
            </w:r>
          </w:p>
        </w:tc>
      </w:tr>
      <w:tr>
        <w:tc>
          <w:tcPr>
            <w:tcW w:w="3609" w:type="dxa"/>
          </w:tcPr>
          <w:p>
            <w:r>
              <w:rPr>
                <w:sz w:val="18"/>
                <w:szCs w:val="18"/>
              </w:rPr>
              <w:t>IMC (kg/m²)</w:t>
            </w:r>
          </w:p>
        </w:tc>
        <w:tc>
          <w:tcPr>
            <w:tcW w:w="2708" w:type="dxa"/>
          </w:tcPr>
          <w:p>
            <w:pPr>
              <w:jc w:val="center"/>
            </w:pPr>
            <w:r>
              <w:rPr>
                <w:sz w:val="18"/>
                <w:szCs w:val="18"/>
              </w:rPr>
              <w:t>27,4 ± 4,8</w:t>
            </w:r>
          </w:p>
        </w:tc>
        <w:tc>
          <w:tcPr>
            <w:tcW w:w="2709" w:type="dxa"/>
          </w:tcPr>
          <w:p>
            <w:pPr>
              <w:jc w:val="center"/>
            </w:pPr>
            <w:r>
              <w:rPr>
                <w:sz w:val="18"/>
                <w:szCs w:val="18"/>
              </w:rPr>
              <w:t>20,7–37,1</w:t>
            </w:r>
          </w:p>
        </w:tc>
      </w:tr>
      <w:tr>
        <w:tc>
          <w:tcPr>
            <w:tcW w:w="3609" w:type="dxa"/>
          </w:tcPr>
          <w:p>
            <w:r>
              <w:rPr>
                <w:sz w:val="18"/>
                <w:szCs w:val="18"/>
              </w:rPr>
              <w:t>ODI3 (ev/h)</w:t>
            </w:r>
          </w:p>
        </w:tc>
        <w:tc>
          <w:tcPr>
            <w:tcW w:w="2708" w:type="dxa"/>
          </w:tcPr>
          <w:p>
            <w:pPr>
              <w:jc w:val="center"/>
            </w:pPr>
            <w:r>
              <w:rPr>
                <w:sz w:val="18"/>
                <w:szCs w:val="18"/>
              </w:rPr>
              <w:t>19,2 ± 15,8</w:t>
            </w:r>
          </w:p>
        </w:tc>
        <w:tc>
          <w:tcPr>
            <w:tcW w:w="2709" w:type="dxa"/>
          </w:tcPr>
          <w:p>
            <w:pPr>
              <w:jc w:val="center"/>
            </w:pPr>
            <w:r>
              <w:rPr>
                <w:sz w:val="18"/>
                <w:szCs w:val="18"/>
              </w:rPr>
              <w:t>0,9–57,3</w:t>
            </w:r>
          </w:p>
        </w:tc>
      </w:tr>
      <w:tr>
        <w:tc>
          <w:tcPr>
            <w:tcW w:w="3609" w:type="dxa"/>
          </w:tcPr>
          <w:p>
            <w:r>
              <w:rPr>
                <w:sz w:val="18"/>
                <w:szCs w:val="18"/>
              </w:rPr>
              <w:t>SpO₂ basal media (%)</w:t>
            </w:r>
          </w:p>
        </w:tc>
        <w:tc>
          <w:tcPr>
            <w:tcW w:w="2708" w:type="dxa"/>
          </w:tcPr>
          <w:p>
            <w:pPr>
              <w:jc w:val="center"/>
            </w:pPr>
            <w:r>
              <w:rPr>
                <w:sz w:val="18"/>
                <w:szCs w:val="18"/>
              </w:rPr>
              <w:t>95,1 ± 1,5</w:t>
            </w:r>
          </w:p>
        </w:tc>
        <w:tc>
          <w:tcPr>
            <w:tcW w:w="2709" w:type="dxa"/>
          </w:tcPr>
          <w:p>
            <w:pPr>
              <w:jc w:val="center"/>
            </w:pPr>
            <w:r>
              <w:rPr>
                <w:sz w:val="18"/>
                <w:szCs w:val="18"/>
              </w:rPr>
              <w:t>92,5–97,3</w:t>
            </w:r>
          </w:p>
        </w:tc>
      </w:tr>
      <w:tr>
        <w:tc>
          <w:tcPr>
            <w:tcW w:w="3609" w:type="dxa"/>
          </w:tcPr>
          <w:p>
            <w:r>
              <w:rPr>
                <w:sz w:val="18"/>
                <w:szCs w:val="18"/>
              </w:rPr>
              <w:t>Severidad (Normal/Leve/Mod./Grave)</w:t>
            </w:r>
          </w:p>
        </w:tc>
        <w:tc>
          <w:tcPr>
            <w:tcW w:w="2708" w:type="dxa"/>
          </w:tcPr>
          <w:p>
            <w:pPr>
              <w:jc w:val="center"/>
            </w:pPr>
            <w:r>
              <w:rPr>
                <w:sz w:val="18"/>
                <w:szCs w:val="18"/>
              </w:rPr>
              <w:t>1 / 5 / 3 / 3</w:t>
            </w:r>
          </w:p>
        </w:tc>
        <w:tc>
          <w:tcPr>
            <w:tcW w:w="2709" w:type="dxa"/>
          </w:tcPr>
          <w:p>
            <w:pPr>
              <w:jc w:val="center"/>
            </w:pPr>
            <w:r>
              <w:rPr>
                <w:sz w:val="18"/>
                <w:szCs w:val="18"/>
              </w:rPr>
              <w:t>por ODI3 medio</w:t>
            </w:r>
          </w:p>
        </w:tc>
      </w:tr>
    </w:tbl>
    <w:p w14:paraId="1A000002" w14:textId="77777777" w:rsidR="00C82816" w:rsidRDefault="00000000" w:rsidP="005C6CE0">
      <w:pPr>
        <w:spacing w:after="160" w:line="276" w:lineRule="auto"/>
        <w:jc w:val="both"/>
      </w:pPr>
      <w:r>
        <w:rPr>
          <w:i/>
          <w:iCs/>
          <w:color w:val="6B7280"/>
          <w:sz w:val="18"/>
          <w:szCs w:val="18"/>
        </w:rPr>
        <w:t>Nota: Edad y SpO₂ basal: estimación a partir de registros disponibles en el pipeline; verificar contra ficha clínica. IMC y ODI3: fuente gold/patients.parquet + patients/clinical.csv. Severidad por ODI3 medio del paciente.</w:t>
      </w:r>
    </w:p>
    <w:p w14:paraId="1A000003" w14:textId="77777777" w:rsidR="00C82816" w:rsidRDefault="00000000" w:rsidP="005C6CE0">
      <w:pPr>
        <w:spacing w:after="160" w:line="276" w:lineRule="auto"/>
        <w:jc w:val="both"/>
      </w:pPr>
      <w:r>
        <w:rPr>
          <w:color w:val="000000"/>
        </w:rPr>
        <w:t>Los criterios de exclusión contemplaron: registros con cobertura de señal inferior al 90% del tiempo total de monitoreo, duración de noche inferior al umbral mínimo establecido, y valores de SpO₂ o FC fuera del rango fisiológico aceptable. Las noches excluidas no implicaron la exclusión del participante; los flags de calidad de Silver permiten retener al paciente en la cohorte con las noches válidas disponibles (vease sección 3.3.3).</w:t>
      </w:r>
    </w:p>
    <w:p w14:paraId="6DF8BA67" w14:textId="77777777" w:rsidR="00C82816" w:rsidRDefault="00000000" w:rsidP="005C6CE0">
      <w:pPr>
        <w:pStyle w:val="Ttulo3"/>
        <w:spacing w:line="276" w:lineRule="auto"/>
      </w:pPr>
      <w:r>
        <w:t>3.2.2  Dispositivo SOMNI 6000</w:t>
      </w:r>
    </w:p>
    <w:p w14:paraId="7A13F16F" w14:textId="77777777" w:rsidR="00C82816" w:rsidRDefault="00000000" w:rsidP="005C6CE0">
      <w:pPr>
        <w:spacing w:after="160" w:line="276" w:lineRule="auto"/>
        <w:jc w:val="both"/>
      </w:pPr>
      <w:r>
        <w:rPr>
          <w:color w:val="000000"/>
        </w:rPr>
        <w:t>Las señales fisiológicas fueron adquiridas con el dispositivo SOMNI 6000, un monitor portátil de uso domiciliario aprobado por ANMAT para el registro de oximetría nocturna. El SOMNI 6000 integra un pulsioximétro y un estimulador eléctrico transcutáneo en un único sensor de dedo no invasivo. Registra en continuo a 1 Hz tres señales fisiológicas: saturación de oxígeno en sangre periférica (SpO₂, %), frecuencia de pulso —asimilada a frecuencia cardíaca (FC, lpm)—, y aceleración tridimensional utilizada como proxy de movimiento y agitación motora (MOV, unidades arbitrarias). La precisión del pulsioximétro es de ±2% SpO₂ en el rango 70–100% [pendiente de confirmar con ficha técnica del fabricante]. La transmisión de datos se realiza por Bluetooth LE hacia un dispositivo móvil. La duración media del registro por noche en la cohorte fue de 5,8 ± 1,5 horas.</w:t>
      </w:r>
    </w:p>
    <w:p w14:paraId="6A221E71" w14:textId="77777777" w:rsidR="00C82816" w:rsidRDefault="00000000" w:rsidP="005C6CE0">
      <w:pPr>
        <w:spacing w:after="160" w:line="276" w:lineRule="auto"/>
        <w:jc w:val="both"/>
      </w:pPr>
      <w:r>
        <w:rPr>
          <w:color w:val="000000"/>
        </w:rPr>
        <w:t>El dispositivo exporta los datos en formato Excel (.xlsx) con tres bloques estructurados: metadatos de la sesión (identificador de paciente, hora de inicio y fin), índices pre-computados por el firmware del dispositivo (AHI, ODI, T90 y otros), y la serie temporal de señales a 1 Hz. El pipeline PAC_v3 implementa un módulo de ingesta específico para este formato (sección 3.3.2). El rol analítico de cada señal en el pipeline es asimétrico: SpO₂ opera como señal primaria para la detección de eventos y la caracterización morfológica; FC como señal secundaria para la cuantificación de la respuesta autonómica; y MOV como señal auxiliar para la distinción entre arousals motores y silencio postural.</w:t>
      </w:r>
    </w:p>
    <w:p w14:paraId="39F6BD47" w14:textId="77777777" w:rsidR="00C82816" w:rsidRDefault="00000000" w:rsidP="005C6CE0">
      <w:pPr>
        <w:pStyle w:val="Ttulo3"/>
        <w:spacing w:line="276" w:lineRule="auto"/>
      </w:pPr>
      <w:r>
        <w:t>3.2.3  Protocolo de adquisición</w:t>
      </w:r>
    </w:p>
    <w:p w14:paraId="49C819AB" w14:textId="77777777" w:rsidR="00C82816" w:rsidRDefault="00000000" w:rsidP="005C6CE0">
      <w:pPr>
        <w:spacing w:after="160" w:line="276" w:lineRule="auto"/>
        <w:jc w:val="both"/>
      </w:pPr>
      <w:r>
        <w:rPr>
          <w:color w:val="000000"/>
        </w:rPr>
        <w:t>Los participantes utilizaron el dispositivo durante el sueño en su domicilio habitual, en noches consecutivas o semiconsecutivas según disponibilidad. El diseño domiciliario fue adoptado deliberadamente sobre el laboratorio de sueño: permite obtener registros en condiciones ecológicamente válidas, sin el artefacto de primera noche propio de la polisomnografía, y habilita el seguimiento longitudinal necesario para estudiar la variabilidad intraindividual a lo largo de múltiples noches (Yoon &amp; Choi, 2023). La polisomnografía (PSG) no estuvo disponible en esta cohorte; su ausencia limita la validación externa contra el estándar de oro diagnóstico, limitación que se aborda en detalle en el Capítulo 5.</w:t>
      </w:r>
    </w:p>
    <w:p w14:paraId="1C8D9CE6" w14:textId="77777777" w:rsidR="00C82816" w:rsidRDefault="00000000" w:rsidP="005C6CE0">
      <w:pPr>
        <w:pStyle w:val="Ttulo2"/>
        <w:spacing w:line="276" w:lineRule="auto"/>
      </w:pPr>
      <w:r>
        <w:t>3.3  Pipeline PAC_v3: arquitectura de procesamiento</w:t>
      </w:r>
    </w:p>
    <w:p w14:paraId="7FC8ECFB" w14:textId="77777777" w:rsidR="00C82816" w:rsidRDefault="00000000" w:rsidP="005C6CE0">
      <w:pPr>
        <w:pStyle w:val="Ttulo3"/>
        <w:spacing w:line="276" w:lineRule="auto"/>
      </w:pPr>
      <w:r>
        <w:t>3.3.1  Visión general</w:t>
      </w:r>
    </w:p>
    <w:p w14:paraId="5A3859AF" w14:textId="77777777" w:rsidR="00C82816" w:rsidRDefault="00000000" w:rsidP="005C6CE0">
      <w:pPr>
        <w:spacing w:after="160" w:line="276" w:lineRule="auto"/>
        <w:jc w:val="both"/>
      </w:pPr>
      <w:r>
        <w:rPr>
          <w:color w:val="000000"/>
        </w:rPr>
        <w:t xml:space="preserve">PAC_v3 (Proyecto Análisis Continuo, versión 3) es el pipeline de procesamiento desarrollado ad hoc para esta tesis. Su objetivo clínico es construir una caracterización dinámica y fenotípica del sueño a partir de señales de oximetría domiciliaria, superando </w:t>
        <w:lastRenderedPageBreak/>
        <w:t>los índices agregados clásicos del SAOS. El diseño sigue una arquitectura medallion de cuatro capas de datos progresivamente enriquecidos:</w:t>
      </w:r>
    </w:p>
    <w:p w14:paraId="3ED57C32" w14:textId="77777777" w:rsidR="00C82816" w:rsidRDefault="00000000" w:rsidP="005C6CE0">
      <w:pPr>
        <w:spacing w:before="160" w:after="160" w:line="276" w:lineRule="auto"/>
        <w:jc w:val="center"/>
      </w:pPr>
      <w:r>
        <w:rPr>
          <w:b/>
          <w:bCs/>
          <w:color w:val="1E3A5F"/>
        </w:rPr>
        <w:t>Bronze  →  Silver  →  Events  →  Gold</w:t>
      </w:r>
    </w:p>
    <w:p w14:paraId="1F0A5A0A" w14:textId="77777777" w:rsidR="00C82816" w:rsidRDefault="00000000" w:rsidP="005C6CE0">
      <w:pPr>
        <w:spacing w:after="160" w:line="276" w:lineRule="auto"/>
        <w:jc w:val="both"/>
      </w:pPr>
      <w:r>
        <w:rPr>
          <w:color w:val="000000"/>
        </w:rPr>
        <w:t>Cada capa establece un contrato explícito de datos con la siguiente: Bronze persiste las señales canónicas; Silver aplica control de calidad de señal; Events detecta y caracteriza los eventos fisiológicos; Gold consolida en tablas analíticas amplias listas para modelado. El flujo es unidireccional y reproducible: dado el mismo conjunto de archivos de entrada, el pipeline produce salidas funcionalmente reproducibles bajo el mismo entorno computacional y configuración. Los parámetros del sistema —umbrales de detección, ventanas temporales, hiperparámetros de clustering— están centralizados en un único módulo de configuración sin valores embebidos en los scripts de análisis.</w:t>
      </w:r>
    </w:p>
    <w:p w14:paraId="6B2CFD3C" w14:textId="77777777" w:rsidR="00C82816" w:rsidRDefault="00000000" w:rsidP="005C6CE0">
      <w:pPr>
        <w:spacing w:after="160" w:line="276" w:lineRule="auto"/>
        <w:jc w:val="both"/>
      </w:pPr>
      <w:r>
        <w:rPr>
          <w:color w:val="000000"/>
        </w:rPr>
        <w:t>Un orquestador incremental supervisa la consistencia entre capas: detecta automáticamente qué noches o etapas quedaron obsoletas ante cambios en inputs o modelos, y re-ejecuta sólo las etapas necesarias. Este diseño permite incorporar nuevas noches al corpus sin re-procesar la cohorte completa, y garantiza la trazabilidad de versión de modelo para cada predicción mediante firmas SHA-256 almacenadas como metadatos en los archivos de estados.</w:t>
      </w:r>
    </w:p>
    <w:p w14:paraId="37FBCB34" w14:textId="77777777" w:rsidR="00C82816" w:rsidRDefault="00000000" w:rsidP="005C6CE0">
      <w:pPr>
        <w:pStyle w:val="Ttulo3"/>
        <w:spacing w:line="276" w:lineRule="auto"/>
      </w:pPr>
      <w:r>
        <w:t>3.3.2  Capa Bronze: ingesta y trazabilidad</w:t>
      </w:r>
    </w:p>
    <w:p w14:paraId="51AF4CA7" w14:textId="77777777" w:rsidR="00C82816" w:rsidRDefault="00000000" w:rsidP="005C6CE0">
      <w:pPr>
        <w:spacing w:after="160" w:line="276" w:lineRule="auto"/>
        <w:jc w:val="both"/>
      </w:pPr>
      <w:r>
        <w:rPr>
          <w:color w:val="000000"/>
        </w:rPr>
        <w:t>La capa Bronze parsea los archivos Excel exportados por el SOMNI 6000, extrae las señales canónicas (SpO₂, FC, MOV y marca temporal a 1 Hz), y persiste los datos en formato Parquet columnar con metadatos completos. Cada noche recibe un identificador único (NightRecordID, NR) calculado como MD5(SHA-256 del archivo | timestamp de inicio), lo que garantiza idempotencia: re-procesar el mismo archivo produce siempre el mismo NR. Este identificador es el eje trazador de todas las tablas del sistema.</w:t>
      </w:r>
    </w:p>
    <w:p w14:paraId="4D1C7670" w14:textId="77777777" w:rsidR="00C82816" w:rsidRDefault="00000000" w:rsidP="005C6CE0">
      <w:pPr>
        <w:spacing w:after="160" w:line="276" w:lineRule="auto"/>
        <w:jc w:val="both"/>
      </w:pPr>
      <w:r>
        <w:rPr>
          <w:color w:val="000000"/>
        </w:rPr>
        <w:t>Un componente de auto-registro detecta participantes cuyo identificador no existe en el registro de pacientes y crea entradas stub para permitir el procesamiento sin interrupción; el investigador completa los datos clínicos de forma manual a posteriori. La capa Bronze es la única que accede a los archivos originales; todas las etapas analíticas consumen exclusivamente los datos canónicos de las capas superiores. Los reportes de batch documentan el resultado de cada corrida con distribuciones de duración y gaps de señal para auditoría.</w:t>
      </w:r>
    </w:p>
    <w:p w14:paraId="57F8835F" w14:textId="77777777" w:rsidR="00C82816" w:rsidRDefault="00000000" w:rsidP="005C6CE0">
      <w:pPr>
        <w:pStyle w:val="Ttulo3"/>
        <w:spacing w:line="276" w:lineRule="auto"/>
      </w:pPr>
      <w:r>
        <w:t>3.3.3  Capa Silver: control de calidad de señal</w:t>
      </w:r>
    </w:p>
    <w:p w14:paraId="73D4C7CC" w14:textId="77777777" w:rsidR="00C82816" w:rsidRDefault="00000000" w:rsidP="005C6CE0">
      <w:pPr>
        <w:spacing w:after="160" w:line="276" w:lineRule="auto"/>
        <w:jc w:val="both"/>
      </w:pPr>
      <w:r>
        <w:rPr>
          <w:color w:val="000000"/>
        </w:rPr>
        <w:t>Silver aplica control de calidad sobre las señales canónicas de Bronze sin excluir noches: su principio es marcar con flags los problemas detectados y dejar las decisiones de inclusión en la cohorte a la capa Gold. Se aplican tres familias de verificaciones:</w:t>
      </w:r>
    </w:p>
    <w:p w14:paraId="4501D9B7" w14:textId="77777777" w:rsidR="00C82816" w:rsidRDefault="00000000" w:rsidP="005C6CE0">
      <w:pPr>
        <w:spacing w:after="160" w:line="276" w:lineRule="auto"/>
        <w:jc w:val="both"/>
      </w:pPr>
      <w:r>
        <w:rPr>
          <w:b/>
          <w:bCs/>
          <w:color w:val="000000"/>
        </w:rPr>
        <w:t>Rango fisiológico</w:t>
      </w:r>
      <w:r>
        <w:rPr>
          <w:color w:val="000000"/>
        </w:rPr>
        <w:t>: se reemplaza con NaN toda muestra de SpO₂ &lt; 55% o FC fuera del rango [30, 200] lpm. El umbral inferior de 55% cubre el sensor desconectado —reportado como 0 por el firmware— y artefactos groseros. Preservar el índice temporal del DataFrame con NaN, en lugar de eliminar filas, es necesario para el cálculo de ventanas y baselines deslizantes en etapas posteriores.</w:t>
      </w:r>
    </w:p>
    <w:p w14:paraId="730A1E04" w14:textId="77777777" w:rsidR="00C82816" w:rsidRDefault="00000000" w:rsidP="005C6CE0">
      <w:pPr>
        <w:spacing w:after="160" w:line="276" w:lineRule="auto"/>
        <w:jc w:val="both"/>
      </w:pPr>
      <w:r>
        <w:rPr>
          <w:b/>
          <w:bCs/>
          <w:color w:val="000000"/>
        </w:rPr>
        <w:lastRenderedPageBreak/>
        <w:t>Cobertura temporal</w:t>
      </w:r>
      <w:r>
        <w:rPr>
          <w:color w:val="000000"/>
        </w:rPr>
        <w:t>: se calcula el cociente entre muestras válidas y duración esperada (cobertura ≥ 90% como umbral de inclusión en la cohorte estricta) y el mayor salto temporal continuo (max_contiguous_gap_s; umbral operacional: 1800 s = 30 min). Un gap largo es cualitativamente distinto de muchos gaps pequeños, razón por la que ambas métricas se calculan de forma independiente.</w:t>
      </w:r>
    </w:p>
    <w:p w14:paraId="662E65CE" w14:textId="77777777" w:rsidR="00C82816" w:rsidRDefault="00000000" w:rsidP="005C6CE0">
      <w:pPr>
        <w:spacing w:after="160" w:line="276" w:lineRule="auto"/>
        <w:jc w:val="both"/>
      </w:pPr>
      <w:r>
        <w:rPr>
          <w:b/>
          <w:bCs/>
          <w:color w:val="000000"/>
        </w:rPr>
        <w:t>Duración mínima</w:t>
      </w:r>
      <w:r>
        <w:rPr>
          <w:color w:val="000000"/>
        </w:rPr>
        <w:t>: se generan dos flags ordenados por inclusión (relación de subconjunto): noches abortadas (&lt; 1 h) ⊆ noches cortas (&lt; 3 h). Las noches abortadas presentan típicamente señales inestables por falta de tiempo de estabilización del sensor.</w:t>
      </w:r>
    </w:p>
    <w:p w14:paraId="1D046E53" w14:textId="77777777" w:rsidR="00C82816" w:rsidRDefault="00000000" w:rsidP="005C6CE0">
      <w:pPr>
        <w:spacing w:after="160" w:line="276" w:lineRule="auto"/>
        <w:jc w:val="both"/>
      </w:pPr>
      <w:r>
        <w:rPr>
          <w:color w:val="000000"/>
        </w:rPr>
        <w:t>Los flags de Silver se transfieren como columnas a la capa Gold y permiten definir cuatro niveles de cohorte: corpus completo (C), corpus con calidad básica (B), corpus estricto (B-estricto) y corpus de alta duración de sueño total (B-TST). Los análisis principales de esta tesis emplean la cohorte B como universo de referencia, salvo indicación expresa.</w:t>
      </w:r>
    </w:p>
    <w:p w14:paraId="4E091B80" w14:textId="77777777" w:rsidR="00C82816" w:rsidRDefault="00000000" w:rsidP="005C6CE0">
      <w:pPr>
        <w:pStyle w:val="Ttulo3"/>
        <w:spacing w:line="276" w:lineRule="auto"/>
      </w:pPr>
      <w:r>
        <w:t>3.3.4  Capa Events: detección y caracterización de EDOs</w:t>
      </w:r>
    </w:p>
    <w:p w14:paraId="4E70E3ED" w14:textId="77777777" w:rsidR="00C82816" w:rsidRDefault="00000000" w:rsidP="005C6CE0">
      <w:pPr>
        <w:spacing w:after="160" w:line="276" w:lineRule="auto"/>
        <w:jc w:val="both"/>
      </w:pPr>
      <w:r>
        <w:rPr>
          <w:color w:val="000000"/>
        </w:rPr>
        <w:t>La capa Events produce el corpus de Eventos de Desaturación de Oxígeno (EDOs), unidad de análisis central de la tesis. La detección opera en tres pasos sobre la señal spo2_clean (QC-validada de Silver):</w:t>
      </w:r>
    </w:p>
    <w:p w14:paraId="5BE4E08D" w14:textId="77777777" w:rsidR="00C82816" w:rsidRDefault="00000000" w:rsidP="005C6CE0">
      <w:pPr>
        <w:spacing w:after="160" w:line="276" w:lineRule="auto"/>
        <w:jc w:val="both"/>
      </w:pPr>
      <w:r>
        <w:rPr>
          <w:b/>
          <w:bCs/>
          <w:color w:val="000000"/>
        </w:rPr>
        <w:t>Baseline móvil</w:t>
      </w:r>
      <w:r>
        <w:rPr>
          <w:color w:val="000000"/>
        </w:rPr>
        <w:t>: se calcula como la mediana deslizante de los 120 s previos a cada punto, con período mínimo de 30 muestras (25% de la ventana). La mediana es más robusta que la media ante spikes de SpO₂ en la ventana previa. Esta implementación replica el criterio AASM 2012 Regla 10 para baseline de oximetría (Berry et al., 2012). Los primeros 30 s de cada noche no generan candidatos.</w:t>
      </w:r>
    </w:p>
    <w:p w14:paraId="768758D0" w14:textId="77777777" w:rsidR="00C82816" w:rsidRDefault="00000000" w:rsidP="005C6CE0">
      <w:pPr>
        <w:spacing w:after="160" w:line="276" w:lineRule="auto"/>
        <w:jc w:val="both"/>
      </w:pPr>
      <w:r>
        <w:rPr>
          <w:b/>
          <w:bCs/>
          <w:color w:val="000000"/>
        </w:rPr>
        <w:t>Detección de candidatos</w:t>
      </w:r>
      <w:r>
        <w:rPr>
          <w:color w:val="000000"/>
        </w:rPr>
        <w:t>: un segmento es candidato a EDO si (a) la SpO₂ desciende por debajo del baseline durante al menos 10 s, (b) la caída máxima respecto al baseline en el instante de inicio es ≥ 2 pp, y (c) la señal recupera el 90% del baseline antes del fin del segmento. El umbral permisivo (2 pp vs. 3 pp del ODI3 clínico) es intencional: captura el espectro completo de eventos incluyendo los subumbral; la separación entre eventos clínicamente relevantes y ruido de señal es responsabilidad del clustering morfológico posterior.</w:t>
      </w:r>
    </w:p>
    <w:p w14:paraId="41670A5D" w14:textId="77777777" w:rsidR="00C82816" w:rsidRDefault="00000000" w:rsidP="005C6CE0">
      <w:pPr>
        <w:spacing w:after="160" w:line="276" w:lineRule="auto"/>
        <w:jc w:val="both"/>
      </w:pPr>
      <w:r>
        <w:rPr>
          <w:b/>
          <w:bCs/>
          <w:color w:val="000000"/>
        </w:rPr>
        <w:t>Caracterización geométrica</w:t>
      </w:r>
      <w:r>
        <w:rPr>
          <w:color w:val="000000"/>
        </w:rPr>
        <w:t>: cada candidato válido es caracterizado con un vector de 25+ features morfológicas: instante y valor del nadir, área bajo la curva de SpO₂ (carga hipóxica del evento), pendientes de caída y recuperación, asimetría temporal (posición relativa del nadir), y estadísticas de FC y MOV en ventanas peri-evento (5 s antes y después del inicio y fin del evento). La serie temporal de SpO₂ de cada EDO se remuestrea a 30 puntos equiespaciados mediante interpolación lineal, habilitando la comparación morfológica entre eventos de distinta duración.</w:t>
      </w:r>
    </w:p>
    <w:p w14:paraId="290573B8" w14:textId="77777777" w:rsidR="00C82816" w:rsidRDefault="00000000" w:rsidP="005C6CE0">
      <w:pPr>
        <w:spacing w:after="160" w:line="276" w:lineRule="auto"/>
        <w:jc w:val="both"/>
      </w:pPr>
      <w:r>
        <w:rPr>
          <w:color w:val="000000"/>
        </w:rPr>
        <w:t>La validación cuantitativa del pipeline se realiza comparando los índices calculados por PAC_v3 contra los índices pre-computados por el firmware del dispositivo, disponibles en el sidecar classical de Bronze. Para 11 índices con contrapartida en el firmware, se calcula un quinteto de validación: valor PAC_v3, valor del dispositivo, diferencia absoluta, diferencia relativa y flag de divergencia (|diff_rel| &gt; 20%). Esta comparación sistemática establece el 'calibrado' analítico del pipeline y sus resultados se reportan en el Capítulo 4.</w:t>
      </w:r>
    </w:p>
    <w:p w14:paraId="51351CD4" w14:textId="77777777" w:rsidR="00C82816" w:rsidRDefault="00000000" w:rsidP="005C6CE0">
      <w:pPr>
        <w:pStyle w:val="Ttulo3"/>
        <w:spacing w:line="276" w:lineRule="auto"/>
      </w:pPr>
      <w:r>
        <w:t>3.3.5  Índice de Reactividad Autonómica (ARI) por evento</w:t>
      </w:r>
    </w:p>
    <w:p w14:paraId="7D9FD9B0" w14:textId="77777777" w:rsidR="00C82816" w:rsidRDefault="00000000" w:rsidP="005C6CE0">
      <w:pPr>
        <w:spacing w:after="160" w:line="276" w:lineRule="auto"/>
        <w:jc w:val="both"/>
      </w:pPr>
      <w:r>
        <w:rPr>
          <w:color w:val="000000"/>
        </w:rPr>
        <w:t>La capa Events calcula el Índice de Reactividad Autonómica (ARI) para cada EDO detectado. El ARI es la contribución metodológica central de la tesis al análisis de eventos individuales: cuantifica cuánta respuesta fisiológica cardíaca y motora genera el organismo por unidad de estímulo hipóxico, permitiendo caracterizar la ganancia autonómica de cada evento con independencia de su profundidad. Su fórmula canónica (publicada en T1):</w:t>
      </w:r>
    </w:p>
    <w:p w14:paraId="786F2B9F" w14:textId="77777777" w:rsidR="00C82816" w:rsidRDefault="00000000" w:rsidP="005C6CE0">
      <w:pPr>
        <w:spacing w:before="160" w:after="80" w:line="276" w:lineRule="auto"/>
        <w:jc w:val="center"/>
      </w:pPr>
      <w:r>
        <w:t>ARIᵢ  =  0,6 · P(hr_gainᵢ)  +  0,4 · P(mov_gainᵢ)</w:t>
      </w:r>
    </w:p>
    <w:p w14:paraId="5BE9682C" w14:textId="77777777" w:rsidR="00C82816" w:rsidRDefault="00000000" w:rsidP="005C6CE0">
      <w:pPr>
        <w:spacing w:before="40" w:line="276" w:lineRule="auto"/>
        <w:ind w:left="720"/>
      </w:pPr>
      <w:r>
        <w:rPr>
          <w:rFonts w:ascii="Courier New" w:eastAsia="Courier New" w:hAnsi="Courier New" w:cs="Courier New"/>
          <w:sz w:val="20"/>
          <w:szCs w:val="20"/>
        </w:rPr>
        <w:t>hr_gainᵢ = Δhr_bpmᵢ / drop_pctᵢ</w:t>
      </w:r>
      <w:r>
        <w:rPr>
          <w:sz w:val="20"/>
          <w:szCs w:val="20"/>
        </w:rPr>
        <w:t xml:space="preserve">   (incremento de FC en lpm dividido por la profundidad de caída de SpO₂ en pp)</w:t>
      </w:r>
    </w:p>
    <w:p w14:paraId="244E521A" w14:textId="77777777" w:rsidR="00C82816" w:rsidRDefault="00000000" w:rsidP="005C6CE0">
      <w:pPr>
        <w:spacing w:line="276" w:lineRule="auto"/>
        <w:ind w:left="720"/>
      </w:pPr>
      <w:r>
        <w:rPr>
          <w:rFonts w:ascii="Courier New" w:eastAsia="Courier New" w:hAnsi="Courier New" w:cs="Courier New"/>
          <w:sz w:val="20"/>
          <w:szCs w:val="20"/>
        </w:rPr>
        <w:t>mov_gainᵢ = (peak_movᵢ − baseline_movᵢ) / drop_pctᵢ</w:t>
      </w:r>
      <w:r>
        <w:rPr>
          <w:sz w:val="20"/>
          <w:szCs w:val="20"/>
        </w:rPr>
        <w:t xml:space="preserve">   (incremento de MOV relativo a la caída de SpO₂)</w:t>
      </w:r>
    </w:p>
    <w:p w14:paraId="6BB07B6C" w14:textId="77777777" w:rsidR="00C82816" w:rsidRDefault="00000000" w:rsidP="005C6CE0">
      <w:pPr>
        <w:spacing w:after="160" w:line="276" w:lineRule="auto"/>
        <w:ind w:left="720"/>
      </w:pPr>
      <w:r>
        <w:rPr>
          <w:rFonts w:ascii="Courier New" w:eastAsia="Courier New" w:hAnsi="Courier New" w:cs="Courier New"/>
          <w:sz w:val="20"/>
          <w:szCs w:val="20"/>
        </w:rPr>
        <w:t>P(·) = rankdata / N</w:t>
      </w:r>
      <w:r>
        <w:rPr>
          <w:sz w:val="20"/>
          <w:szCs w:val="20"/>
        </w:rPr>
        <w:t xml:space="preserve">   (rango percentil en el corpus; N = 85.277 EDOs quality)</w:t>
      </w:r>
    </w:p>
    <w:p w14:paraId="6C7BBF1D" w14:textId="77777777" w:rsidR="00C82816" w:rsidRDefault="00000000" w:rsidP="005C6CE0">
      <w:pPr>
        <w:spacing w:after="160" w:line="276" w:lineRule="auto"/>
        <w:jc w:val="both"/>
      </w:pPr>
      <w:r>
        <w:rPr>
          <w:color w:val="000000"/>
        </w:rPr>
        <w:t>La transformación a percentiles P(·) hace el índice adimensional y robusto a diferencias de escala entre señales. Los pesos 0,6/0,4 reflejan la mayor confiabilidad de la señal cardíaca derivada de PPG frente al sensor de movimiento. El ARI nocturno se define como la media del ARI por evento de todos los EDOs de la noche y opera como indicador del nivel de respuesta autonómica global del paciente en esa noche.</w:t>
      </w:r>
    </w:p>
    <w:p w14:paraId="625FB67E" w14:textId="77777777" w:rsidR="00C82816" w:rsidRDefault="00000000" w:rsidP="005C6CE0">
      <w:pPr>
        <w:pStyle w:val="Ttulo3"/>
        <w:spacing w:line="276" w:lineRule="auto"/>
      </w:pPr>
      <w:r>
        <w:t>3.3.6  Capa Gold: consolidación analítica</w:t>
      </w:r>
    </w:p>
    <w:p w14:paraId="0CE8DC77" w14:textId="77777777" w:rsidR="00C82816" w:rsidRDefault="00000000" w:rsidP="005C6CE0">
      <w:pPr>
        <w:spacing w:after="160" w:line="276" w:lineRule="auto"/>
        <w:jc w:val="both"/>
      </w:pPr>
      <w:r>
        <w:rPr>
          <w:color w:val="000000"/>
        </w:rPr>
        <w:t>La capa Gold consolida las 560 noches en cinco tablas analíticas amplias. Cada tabla sigue la filosofía data-lake: preservar todo lo medido, agregar bloques transversales para análisis directo sin joins adicionales, e incluir columnas de flags de cohorte y trazabilidad de versión de modelo.</w:t>
      </w:r>
    </w:p>
    <w:p w14:paraId="5C5E68CB" w14:textId="77777777" w:rsidR="00C82816" w:rsidRDefault="00000000" w:rsidP="005C6CE0">
      <w:pPr>
        <w:spacing w:after="160" w:line="276" w:lineRule="auto"/>
        <w:jc w:val="both"/>
      </w:pPr>
      <w:r>
        <w:rPr>
          <w:b/>
          <w:bCs/>
          <w:color w:val="000000"/>
        </w:rPr>
        <w:t>events.parquet</w:t>
      </w:r>
      <w:r>
        <w:rPr>
          <w:color w:val="000000"/>
        </w:rPr>
        <w:t>: una fila por EDO (85.277 filas), con las 25+ features morfológicas, morfotipo asignado, flags de cohorte y trazabilidad de modelo. Tabla de entrada para los análisis de Nivel 1 (evento).</w:t>
      </w:r>
    </w:p>
    <w:p w14:paraId="2CE709FD" w14:textId="77777777" w:rsidR="00C82816" w:rsidRDefault="00000000" w:rsidP="005C6CE0">
      <w:pPr>
        <w:spacing w:after="160" w:line="276" w:lineRule="auto"/>
        <w:jc w:val="both"/>
      </w:pPr>
      <w:r>
        <w:rPr>
          <w:b/>
          <w:bCs/>
          <w:color w:val="000000"/>
        </w:rPr>
        <w:t>events_curves.parquet</w:t>
      </w:r>
      <w:r>
        <w:rPr>
          <w:color w:val="000000"/>
        </w:rPr>
        <w:t>: complementa la tabla anterior con las 30 columnas de serie temporal normalizada de SpO₂ por evento (curve_p00 a curve_p29). Se mantiene separada para no inflar el tamaño de events.parquet.</w:t>
      </w:r>
    </w:p>
    <w:p w14:paraId="36770B5F" w14:textId="77777777" w:rsidR="00C82816" w:rsidRDefault="00000000" w:rsidP="005C6CE0">
      <w:pPr>
        <w:spacing w:after="160" w:line="276" w:lineRule="auto"/>
        <w:jc w:val="both"/>
      </w:pPr>
      <w:r>
        <w:rPr>
          <w:b/>
          <w:bCs/>
          <w:color w:val="000000"/>
        </w:rPr>
        <w:t>states.parquet</w:t>
      </w:r>
      <w:r>
        <w:rPr>
          <w:color w:val="000000"/>
        </w:rPr>
        <w:t>: una fila por ventana temporal con etiquetas de estado PAC a las tres escalas y un subconjunto de las 24 features de ventana. Tabla de entrada para los análisis de cadenas de Markov y trayectorias nocturnas.</w:t>
      </w:r>
    </w:p>
    <w:p w14:paraId="0FFC1AE6" w14:textId="77777777" w:rsidR="00C82816" w:rsidRDefault="00000000" w:rsidP="005C6CE0">
      <w:pPr>
        <w:spacing w:after="160" w:line="276" w:lineRule="auto"/>
        <w:jc w:val="both"/>
      </w:pPr>
      <w:r>
        <w:rPr>
          <w:b/>
          <w:bCs/>
          <w:color w:val="000000"/>
        </w:rPr>
        <w:t>nights.parquet</w:t>
      </w:r>
      <w:r>
        <w:rPr>
          <w:color w:val="000000"/>
        </w:rPr>
        <w:t>: una fila por noche (560 filas) con 146 features derivadas de todas las etapas previas: índices clínicos convencionales, estadísticas de señal cruda y el quinteto de validación. Se integra con night_features.parquet (features morfológicas y ARI nocturno) y night_multiscale_features.parquet (features de PAC States) para construir la matriz de diseño completa del Nivel 3.</w:t>
      </w:r>
    </w:p>
    <w:p w14:paraId="55A0A5CC" w14:textId="77777777" w:rsidR="00C82816" w:rsidRDefault="00000000" w:rsidP="005C6CE0">
      <w:pPr>
        <w:spacing w:after="160" w:line="276" w:lineRule="auto"/>
        <w:jc w:val="both"/>
      </w:pPr>
      <w:r>
        <w:rPr>
          <w:b/>
          <w:bCs/>
          <w:color w:val="000000"/>
        </w:rPr>
        <w:t>patients.parquet</w:t>
      </w:r>
      <w:r>
        <w:rPr>
          <w:color w:val="000000"/>
        </w:rPr>
        <w:t>: una fila por paciente (12 filas) con estadísticas del perfil longitudinal de cada individuo (medias, desvíos, percentiles de métricas nocturnas). Tabla de entrada para el análisis de fenotipos a nivel de paciente.</w:t>
      </w:r>
    </w:p>
    <w:p w14:paraId="0F055E73" w14:textId="77777777" w:rsidR="00C82816" w:rsidRDefault="00000000" w:rsidP="005C6CE0">
      <w:pPr>
        <w:pStyle w:val="Ttulo2"/>
        <w:spacing w:line="276" w:lineRule="auto"/>
      </w:pPr>
      <w:r>
        <w:lastRenderedPageBreak/>
        <w:t>3.4  Fenotipado morfológico de eventos (Nivel 1 — Evento)</w:t>
      </w:r>
    </w:p>
    <w:p w14:paraId="5C05255C" w14:textId="77777777" w:rsidR="00C82816" w:rsidRDefault="00000000" w:rsidP="005C6CE0">
      <w:pPr>
        <w:spacing w:after="160" w:line="276" w:lineRule="auto"/>
        <w:jc w:val="both"/>
      </w:pPr>
      <w:r>
        <w:rPr>
          <w:color w:val="000000"/>
        </w:rPr>
        <w:t>El análisis a nivel de evento busca caracterizar la heterogeneidad morfológica del corpus de EDOs, superando la representación de cada evento como un escalar de amplitud o duración. El marco metodológico combina reducción dimensional no supervisada y clustering para descubrir fenotipos recurrentes en el espacio morfológico.</w:t>
      </w:r>
    </w:p>
    <w:p w14:paraId="4C77347B" w14:textId="77777777" w:rsidR="00C82816" w:rsidRDefault="00000000" w:rsidP="005C6CE0">
      <w:pPr>
        <w:pStyle w:val="Ttulo3"/>
        <w:spacing w:line="276" w:lineRule="auto"/>
      </w:pPr>
      <w:r>
        <w:t>3.4.1  Representación morfológica y reducción dimensional</w:t>
      </w:r>
    </w:p>
    <w:p w14:paraId="14252868" w14:textId="77777777" w:rsidR="00C82816" w:rsidRDefault="00000000" w:rsidP="005C6CE0">
      <w:pPr>
        <w:spacing w:after="160" w:line="276" w:lineRule="auto"/>
        <w:jc w:val="both"/>
      </w:pPr>
      <w:r>
        <w:rPr>
          <w:color w:val="000000"/>
        </w:rPr>
        <w:t>Cada EDO está representado por su serie temporal normalizada de 30 puntos (curve_p00 a curve_p29), obtenida por remuestreo lineal desde el inicio hasta el fin del evento. Esta representación de dimensión fija permite comparar morfológicamente eventos de duraciones distintas en un espacio común.</w:t>
      </w:r>
    </w:p>
    <w:p w14:paraId="708BC976" w14:textId="77777777" w:rsidR="00C82816" w:rsidRDefault="00000000" w:rsidP="005C6CE0">
      <w:pPr>
        <w:spacing w:after="160" w:line="276" w:lineRule="auto"/>
        <w:jc w:val="both"/>
      </w:pPr>
      <w:r>
        <w:rPr>
          <w:color w:val="000000"/>
        </w:rPr>
        <w:t>Sobre las 84.248 curvas normalizadas se aplica Análisis de Componentes Principales (PCA; Jolliffe, 2002), que reduce la dimensionalidad de 30 a un espacio de menor dimensión preservando la mayor parte de la variabilidad morfológica entre eventos. Los componentes principales se interpretan fisiológicamente a partir de sus perfiles de carga: el primer componente captura la profundidad global de la desaturación; el segundo refleja la asimetría temporal entre la fase de caída y la de recuperación; el tercero se asocia a la posición temporal del nadir dentro del evento. Esta estructura de baja dimensionalidad sugiere que la morfología de los EDOs no sería aleatoria sino que podría organizarse en ejes fisiológicos interpretables.</w:t>
      </w:r>
    </w:p>
    <w:p w14:paraId="3DBCB019" w14:textId="77777777" w:rsidR="00C82816" w:rsidRDefault="00000000" w:rsidP="005C6CE0">
      <w:pPr>
        <w:pStyle w:val="Ttulo3"/>
        <w:spacing w:line="276" w:lineRule="auto"/>
      </w:pPr>
      <w:r>
        <w:t>3.4.2  Clustering y morfotipos C1–C5</w:t>
      </w:r>
    </w:p>
    <w:p w14:paraId="0ABC8F12" w14:textId="77777777" w:rsidR="00C82816" w:rsidRDefault="00000000" w:rsidP="005C6CE0">
      <w:pPr>
        <w:spacing w:after="160" w:line="276" w:lineRule="auto"/>
        <w:jc w:val="both"/>
      </w:pPr>
      <w:r>
        <w:rPr>
          <w:color w:val="000000"/>
        </w:rPr>
        <w:t>Sobre el espacio reducido por PCA se aplica K-means (MacQueen, 1967) con K seleccionado mediante el criterio del codo y la métrica de Silhouette (Rousseeuw, 1987), que evalúa la cohesión interna de cada cluster y su separación respecto a los demás. El número final de clusters K=5 fue preferido sobre valores menores por su mayor granularidad fisiológica: valores de K &lt; 5 colapsan en un mismo cluster morfotipos con dinámicas temporales distintas que son fisiológicamente relevantes. Los cinco morfotipos resultantes se designan C1 a C5, en orden de profundidad creciente.</w:t>
      </w:r>
    </w:p>
    <w:p w14:paraId="7EC94CCC" w14:textId="77777777" w:rsidR="00C82816" w:rsidRDefault="00000000" w:rsidP="005C6CE0">
      <w:pPr>
        <w:spacing w:after="160" w:line="276" w:lineRule="auto"/>
        <w:jc w:val="both"/>
      </w:pPr>
      <w:r>
        <w:rPr>
          <w:color w:val="000000"/>
        </w:rPr>
        <w:t>Los perfiles C1–C5 difieren en profundidad de nadir, posición temporal del nadir y velocidad de recuperación, representando el espectro completo de la morfología de los EDOs: desde eventos subcríticos leves con menor carga hipóxica relativa (C1) hasta desaturaciones severas prolongadas, cuya respuesta autonómica será evaluada en los análisis posteriores (C5). Un análisis complementario de las señales de FC y MOV por morfotipo revela la disociación entre respuesta autonómica y profundidad hipóxica: morfotipos de profundidad similar (C3, C4 y C5) pueden exhibir patrones de respuesta cardíaca cualitativamente distintos —información que la SpO₂ sola no permite detectar—. La reproducibilidad inter-noche de la distribución de morfotipos se evalúa mediante el coeficiente de correlación intraclase [ICC(1,1); Koo &amp; Li, 2016].</w:t>
      </w:r>
    </w:p>
    <w:p w14:paraId="0B943535" w14:textId="77777777" w:rsidR="00C82816" w:rsidRDefault="00000000" w:rsidP="005C6CE0">
      <w:pPr>
        <w:pStyle w:val="Ttulo3"/>
        <w:spacing w:line="276" w:lineRule="auto"/>
      </w:pPr>
      <w:r>
        <w:t>3.4.3  Índice de Reactividad Autonómica (ARI)</w:t>
      </w:r>
    </w:p>
    <w:p w14:paraId="4FC9F8E9" w14:textId="77777777" w:rsidR="00C82816" w:rsidRDefault="00000000" w:rsidP="005C6CE0">
      <w:pPr>
        <w:spacing w:after="160" w:line="276" w:lineRule="auto"/>
        <w:jc w:val="both"/>
      </w:pPr>
      <w:r>
        <w:rPr>
          <w:color w:val="000000"/>
        </w:rPr>
        <w:t xml:space="preserve">Como dimensión analítica complementaria a la severidad morfológica, el Índice de Reactividad Autonómica (ARI) busca cuantificar la ganancia autonómica de cada evento: cuánta respuesta fisiológica cardíaca y motora genera el organismo por unidad de </w:t>
        <w:lastRenderedPageBreak/>
        <w:t>estímulo hipóxico, con independencia de cuán profunda sea la caída de SpO₂. La fórmula canónica del ARI —con sus componentes hr_gain y mov_gain transformados a percentiles sobre el corpus completo de EDOs— se especifica íntegramente en la Sección 3.3.5, donde se detalla su cómputo en el contexto de la capa Events.</w:t>
      </w:r>
    </w:p>
    <w:p w14:paraId="125EE780" w14:textId="77777777" w:rsidR="00C82816" w:rsidRDefault="00000000" w:rsidP="005C6CE0">
      <w:pPr>
        <w:spacing w:after="160" w:line="276" w:lineRule="auto"/>
        <w:jc w:val="both"/>
      </w:pPr>
      <w:r>
        <w:rPr>
          <w:color w:val="000000"/>
        </w:rPr>
        <w:t>Los pesos 0,6 / 0,4 reflejan la mayor confiabilidad de la señal cardíaca (PPG) frente al sensor de movimiento. La transformación a percentiles hace el índice adimensional y robusto a diferencias de escala entre señales, eliminando la influencia del nivel basal absoluto de FC entre pacientes. El ARI nocturno se define como la media del ARI por evento a lo largo de la noche, operando como indicador del nivel de reactividad autonómica global del paciente en ese registro. El ARI es conceptualmente complementario a la severidad hipóxica y está diseñado para reducir la dependencia directa respecto de ella: un valor alto sugiere una respuesta autonómica más intensa o preservada ante el estímulo hipóxico, mientras que un valor bajo podría indicar respuesta atenuada —por adaptación crónica a hipoxia intermitente, por agotamiento autonómico, o por silencio cardíaco de otro origen—. El grado de independencia del ARI respecto a la frecuencia de eventos se evalúa mediante la correlación de Spearman entre ARI y ODI3.</w:t>
      </w:r>
    </w:p>
    <w:p w14:paraId="5DE3DFB5" w14:textId="77777777" w:rsidR="00C82816" w:rsidRDefault="00000000" w:rsidP="005C6CE0">
      <w:pPr>
        <w:pStyle w:val="Ttulo2"/>
        <w:spacing w:line="276" w:lineRule="auto"/>
      </w:pPr>
      <w:r>
        <w:t>3.5  Estados dinámicos multiescala — Nivel 2 (Noche)</w:t>
      </w:r>
    </w:p>
    <w:p w14:paraId="0A0A042A" w14:textId="77777777" w:rsidR="00C82816" w:rsidRDefault="00000000" w:rsidP="005C6CE0">
      <w:pPr>
        <w:spacing w:after="160" w:line="276" w:lineRule="auto"/>
        <w:jc w:val="both"/>
      </w:pPr>
      <w:r>
        <w:rPr>
          <w:color w:val="000000"/>
        </w:rPr>
        <w:t>El análisis a nivel de noche busca capturar la arquitectura temporal dinámica del sueño: la secuencia de estados fisiológicos que se suceden a lo largo de la noche a distintas resoluciones temporales. Frente a la representación de la noche como un escalar (p. ej., ODI3) o un vector de propiedades promediadas, los PAC States proponen una representación discreta y dinámica que preserva la estructura temporal interna.</w:t>
      </w:r>
    </w:p>
    <w:p w14:paraId="3D4E77D4" w14:textId="77777777" w:rsidR="00C82816" w:rsidRDefault="00000000" w:rsidP="005C6CE0">
      <w:pPr>
        <w:pStyle w:val="Ttulo3"/>
        <w:spacing w:line="276" w:lineRule="auto"/>
      </w:pPr>
      <w:r>
        <w:t>3.5.1  Escalas temporales y particionamiento</w:t>
      </w:r>
    </w:p>
    <w:p w14:paraId="0657DF2E" w14:textId="77777777" w:rsidR="00C82816" w:rsidRDefault="00000000" w:rsidP="005C6CE0">
      <w:pPr>
        <w:spacing w:after="160" w:line="276" w:lineRule="auto"/>
        <w:jc w:val="both"/>
      </w:pPr>
      <w:r>
        <w:rPr>
          <w:color w:val="000000"/>
        </w:rPr>
        <w:t>La noche se particionó en ventanas temporales disjuntas a tres escalas complementarias:</w:t>
      </w:r>
    </w:p>
    <w:p w14:paraId="74198F0C" w14:textId="77777777" w:rsidR="00C82816" w:rsidRDefault="00000000" w:rsidP="005C6CE0">
      <w:pPr>
        <w:spacing w:after="160" w:line="276" w:lineRule="auto"/>
        <w:jc w:val="both"/>
      </w:pPr>
      <w:r>
        <w:rPr>
          <w:b/>
          <w:bCs/>
          <w:color w:val="000000"/>
        </w:rPr>
        <w:t>Escala S (</w:t>
      </w:r>
      <w:r>
        <w:rPr>
          <w:color w:val="000000"/>
        </w:rPr>
        <w:t>short</w:t>
      </w:r>
      <w:r>
        <w:rPr>
          <w:b/>
          <w:bCs/>
          <w:color w:val="000000"/>
        </w:rPr>
        <w:t>, 30 s)</w:t>
      </w:r>
      <w:r>
        <w:rPr>
          <w:color w:val="000000"/>
        </w:rPr>
        <w:t>: captura la microdinámica peri-evento, es decir, el contexto fisiológico inmediato en el que ocurre cada EDO y los instantes de transición de señal a alta resolución.</w:t>
      </w:r>
    </w:p>
    <w:p w14:paraId="1391A710" w14:textId="77777777" w:rsidR="00C82816" w:rsidRDefault="00000000" w:rsidP="005C6CE0">
      <w:pPr>
        <w:spacing w:after="160" w:line="276" w:lineRule="auto"/>
        <w:jc w:val="both"/>
      </w:pPr>
      <w:r>
        <w:rPr>
          <w:b/>
          <w:bCs/>
          <w:color w:val="000000"/>
        </w:rPr>
        <w:t>Escala M (</w:t>
      </w:r>
      <w:r>
        <w:rPr>
          <w:color w:val="000000"/>
        </w:rPr>
        <w:t>medium</w:t>
      </w:r>
      <w:r>
        <w:rPr>
          <w:b/>
          <w:bCs/>
          <w:color w:val="000000"/>
        </w:rPr>
        <w:t>, 5 min)</w:t>
      </w:r>
      <w:r>
        <w:rPr>
          <w:color w:val="000000"/>
        </w:rPr>
        <w:t>: captura la mesodinámica autonómica: episodios de carga hipóxica sostenida, recuperación entre grupos de eventos, o estabilidad prolongada.</w:t>
      </w:r>
    </w:p>
    <w:p w14:paraId="55C2D346" w14:textId="77777777" w:rsidR="00C82816" w:rsidRDefault="00000000" w:rsidP="005C6CE0">
      <w:pPr>
        <w:spacing w:after="160" w:line="276" w:lineRule="auto"/>
        <w:jc w:val="both"/>
      </w:pPr>
      <w:r>
        <w:rPr>
          <w:b/>
          <w:bCs/>
          <w:color w:val="000000"/>
        </w:rPr>
        <w:t>Escala L (</w:t>
      </w:r>
      <w:r>
        <w:rPr>
          <w:color w:val="000000"/>
        </w:rPr>
        <w:t>long</w:t>
      </w:r>
      <w:r>
        <w:rPr>
          <w:b/>
          <w:bCs/>
          <w:color w:val="000000"/>
        </w:rPr>
        <w:t>, 30 min)</w:t>
      </w:r>
      <w:r>
        <w:rPr>
          <w:color w:val="000000"/>
        </w:rPr>
        <w:t>: captura la macrodinámica nocturna: la progresión global de la carga a lo largo de las distintas fases de la noche.</w:t>
      </w:r>
    </w:p>
    <w:p w14:paraId="2E3002B1" w14:textId="77777777" w:rsidR="00C82816" w:rsidRDefault="00000000" w:rsidP="005C6CE0">
      <w:pPr>
        <w:spacing w:after="160" w:line="276" w:lineRule="auto"/>
        <w:jc w:val="both"/>
      </w:pPr>
      <w:r>
        <w:rPr>
          <w:color w:val="000000"/>
        </w:rPr>
        <w:t>Las tres escalas son complementarias, no redundantes: cada una captura una dimensión fisiológica distinta, y la consistencia de un patrón entre escalas constituye evidencia independiente de validez biológica. La cola de la última ventana de cada escala se conserva si su cobertura sobre la duración nominal supera el 50%, evitando inflar artificialmente la cobertura de ventanas parciales.</w:t>
      </w:r>
    </w:p>
    <w:p w14:paraId="02E4071D" w14:textId="77777777" w:rsidR="00C82816" w:rsidRDefault="00000000" w:rsidP="005C6CE0">
      <w:pPr>
        <w:pStyle w:val="Ttulo3"/>
        <w:spacing w:line="276" w:lineRule="auto"/>
      </w:pPr>
      <w:r>
        <w:t>3.5.2  Vector de 24 características por ventana</w:t>
      </w:r>
    </w:p>
    <w:p w14:paraId="00F1899A" w14:textId="77777777" w:rsidR="00C82816" w:rsidRDefault="00000000" w:rsidP="005C6CE0">
      <w:pPr>
        <w:spacing w:after="160" w:line="276" w:lineRule="auto"/>
        <w:jc w:val="both"/>
      </w:pPr>
      <w:r>
        <w:rPr>
          <w:color w:val="000000"/>
        </w:rPr>
        <w:t>Cada ventana es caracterizada por un vector de 24 features que combina tres fuentes de información:</w:t>
      </w:r>
    </w:p>
    <w:p w14:paraId="4D3896EA" w14:textId="77777777" w:rsidR="00C82816" w:rsidRDefault="00000000" w:rsidP="005C6CE0">
      <w:pPr>
        <w:spacing w:after="160" w:line="276" w:lineRule="auto"/>
        <w:jc w:val="both"/>
      </w:pPr>
      <w:r>
        <w:rPr>
          <w:b/>
          <w:bCs/>
          <w:color w:val="000000"/>
        </w:rPr>
        <w:lastRenderedPageBreak/>
        <w:t>Estadísticas de señal fisiológica</w:t>
      </w:r>
      <w:r>
        <w:rPr>
          <w:color w:val="000000"/>
        </w:rPr>
        <w:t>: media, desvío estándar y percentil 5 de SpO₂ (p5_spo2 como proxy de nadir en la ventana); media y desvío de FC; nivel medio de MOV. Todos los cálculos son nan-aware para tolerar gaps menores dentro de la ventana.</w:t>
      </w:r>
    </w:p>
    <w:p w14:paraId="0F0261CD" w14:textId="77777777" w:rsidR="00C82816" w:rsidRDefault="00000000" w:rsidP="005C6CE0">
      <w:pPr>
        <w:spacing w:after="160" w:line="276" w:lineRule="auto"/>
        <w:jc w:val="both"/>
      </w:pPr>
      <w:r>
        <w:rPr>
          <w:b/>
          <w:bCs/>
          <w:color w:val="000000"/>
        </w:rPr>
        <w:t>Densidad de morfotipos</w:t>
      </w:r>
      <w:r>
        <w:rPr>
          <w:color w:val="000000"/>
        </w:rPr>
        <w:t>: conteo total de EDOs en la ventana; conteo desagregado por morfotipo (n_C1 a n_C5); ARI medio de los eventos contenidos en la ventana (valor 0,0 si no hay EDOs, codificando la ausencia como señal —no como dato faltante—). La regla de pertenencia de un EDO a una ventana es: su ts_start está en el intervalo semiabierto [t_start, t_end), con t_end definido por la duración nominal. Esta regla explícita evita el doble conteo.</w:t>
      </w:r>
    </w:p>
    <w:p w14:paraId="696EB130" w14:textId="77777777" w:rsidR="00C82816" w:rsidRDefault="00000000" w:rsidP="005C6CE0">
      <w:pPr>
        <w:spacing w:after="160" w:line="276" w:lineRule="auto"/>
        <w:jc w:val="both"/>
      </w:pPr>
      <w:r>
        <w:rPr>
          <w:b/>
          <w:bCs/>
          <w:color w:val="000000"/>
        </w:rPr>
        <w:t>Composición de estadios de sueño</w:t>
      </w:r>
      <w:r>
        <w:rPr>
          <w:color w:val="000000"/>
        </w:rPr>
        <w:t>: fracción de tiempo en cada categoría operativa del pipeline: vigilia (wake), sueño ligero (light_sleep) y sueño profundo (deep_sleep), derivadas del staging inferido por el firmware del dispositivo a partir de FC y MOV. Estas tres categorías resultan del colapso de las cuatro clases crudas del dispositivo ({0,1,2,3}) y son convenciones operativas del pipeline —no equivalen a estadios clínicos NREM/REM ni a N3 formal—.</w:t>
      </w:r>
    </w:p>
    <w:p w14:paraId="569075B9" w14:textId="77777777" w:rsidR="00C82816" w:rsidRDefault="00000000" w:rsidP="005C6CE0">
      <w:pPr>
        <w:pStyle w:val="Ttulo3"/>
        <w:spacing w:line="276" w:lineRule="auto"/>
      </w:pPr>
      <w:r>
        <w:t>3.5.3  Clustering por escala: estados PAC</w:t>
      </w:r>
    </w:p>
    <w:p w14:paraId="7F011AA3" w14:textId="77777777" w:rsidR="00C82816" w:rsidRDefault="00000000" w:rsidP="005C6CE0">
      <w:pPr>
        <w:spacing w:after="160" w:line="276" w:lineRule="auto"/>
        <w:jc w:val="both"/>
      </w:pPr>
      <w:r>
        <w:rPr>
          <w:color w:val="000000"/>
        </w:rPr>
        <w:t>Sobre el pool de ventanas de la cohorte estricta (8 pacientes con ≥ 10 noches in_quality) se entrena un modelo K-means independiente por escala. Previo al entrenamiento se aplica normalización z-score pooled (media y desvío calculados sobre todo el corpus de training de esa escala). Entrenar un modelo independiente por escala —en lugar de un único modelo con la escala como feature— permite que cada resolución temporal descubra sus propios patrones sin distorsión por diferencias de densidad entre escalas.</w:t>
      </w:r>
    </w:p>
    <w:p w14:paraId="6867D6A6" w14:textId="77777777" w:rsidR="00C82816" w:rsidRDefault="00000000" w:rsidP="005C6CE0">
      <w:pPr>
        <w:spacing w:after="160" w:line="276" w:lineRule="auto"/>
        <w:jc w:val="both"/>
      </w:pPr>
      <w:r>
        <w:rPr>
          <w:color w:val="000000"/>
        </w:rPr>
        <w:t>El número de clusters por escala se seleccionó mediante el mismo procedimiento de codo + Silhouette (Rousseeuw, 1987) utilizado en el morfotyping. La máscara de training incluye ventanas con proporción de vigilia ≤ umbral configurado y cobertura ≥ 90%, sin imponer el criterio estricto de in_sleep propio del morfotyping (dado que los estados PAC modelan la dinámica temporal completa, incluyendo las transiciones sueño-vigilia). Los valores de K resultantes del análisis empírico NB04 son: escala S (30 s): K=7, estados S0–S6; escala M (5 min): K=5, estados M0–M4; escala L (30 min): K=4, estados L0–L3. Estos valores se documentan en detalle en el Capítulo 5 (Tabla 5.2).</w:t>
      </w:r>
    </w:p>
    <w:p w14:paraId="72A28CAC" w14:textId="77777777" w:rsidR="00C82816" w:rsidRDefault="00000000" w:rsidP="005C6CE0">
      <w:pPr>
        <w:spacing w:after="160" w:line="276" w:lineRule="auto"/>
        <w:jc w:val="both"/>
      </w:pPr>
      <w:r>
        <w:rPr>
          <w:color w:val="000000"/>
        </w:rPr>
        <w:t>La reproducibilidad del clustering se garantiza por diseño: el modelo se entrena una única vez sobre el corpus completo y se aplica de forma determinista mediante el modelo persistido (archivo .pkl + parámetros z-score en JSON). Una firma SHA-256 de los centroides activos se almacena como metadato en cada archivo de estados, permitiendo al orquestador detectar automáticamente cuándo un archivo de estados fue generado con un modelo obsoleto y debe re-calcularse.</w:t>
      </w:r>
    </w:p>
    <w:p w14:paraId="60FB91AD" w14:textId="77777777" w:rsidR="00C82816" w:rsidRDefault="00000000" w:rsidP="005C6CE0">
      <w:pPr>
        <w:pStyle w:val="Ttulo3"/>
        <w:spacing w:line="276" w:lineRule="auto"/>
      </w:pPr>
      <w:r>
        <w:t>3.5.4  Features nocturnas derivadas</w:t>
      </w:r>
    </w:p>
    <w:p w14:paraId="2E1088F8" w14:textId="77777777" w:rsidR="00C82816" w:rsidRDefault="00000000" w:rsidP="005C6CE0">
      <w:pPr>
        <w:spacing w:after="160" w:line="276" w:lineRule="auto"/>
        <w:jc w:val="both"/>
      </w:pPr>
      <w:r>
        <w:rPr>
          <w:color w:val="000000"/>
        </w:rPr>
        <w:t>A partir de la secuencia de estados asignados a cada noche, se calculan 21 features nocturnas que representan la dinámica de esa noche como un vector compacto:</w:t>
      </w:r>
    </w:p>
    <w:p w14:paraId="4B6353E1" w14:textId="77777777" w:rsidR="00C82816" w:rsidRDefault="00000000" w:rsidP="005C6CE0">
      <w:pPr>
        <w:spacing w:after="160" w:line="276" w:lineRule="auto"/>
        <w:jc w:val="both"/>
      </w:pPr>
      <w:r>
        <w:rPr>
          <w:b/>
          <w:bCs/>
          <w:color w:val="000000"/>
        </w:rPr>
        <w:t>Fracciones de estado</w:t>
      </w:r>
      <w:r>
        <w:rPr>
          <w:color w:val="000000"/>
        </w:rPr>
        <w:t>: proporción de ventanas de la noche asignadas a cada estado por escala (normalizadas a 1). Estas features reflejan la distribución del tiempo nocturno entre distintos patrones fisiológicos.</w:t>
      </w:r>
    </w:p>
    <w:p w14:paraId="3C95CB03" w14:textId="77777777" w:rsidR="00C82816" w:rsidRDefault="00000000" w:rsidP="005C6CE0">
      <w:pPr>
        <w:spacing w:after="160" w:line="276" w:lineRule="auto"/>
        <w:jc w:val="both"/>
      </w:pPr>
      <w:r>
        <w:rPr>
          <w:b/>
          <w:bCs/>
          <w:color w:val="000000"/>
        </w:rPr>
        <w:lastRenderedPageBreak/>
        <w:t>Entropía de Shannon</w:t>
      </w:r>
      <w:r>
        <w:rPr>
          <w:color w:val="000000"/>
        </w:rPr>
        <w:t xml:space="preserve"> (Shannon, 1948): entropía de la distribución de estados por escala (3 features: S, M, L). Un valor alto indica una noche irregular con frecuente cambio de estado; un valor bajo indica dominancia de pocos estados.</w:t>
      </w:r>
    </w:p>
    <w:p w14:paraId="5999F79F" w14:textId="77777777" w:rsidR="00C82816" w:rsidRDefault="00000000" w:rsidP="005C6CE0">
      <w:pPr>
        <w:spacing w:after="160" w:line="276" w:lineRule="auto"/>
        <w:jc w:val="both"/>
      </w:pPr>
      <w:r>
        <w:rPr>
          <w:b/>
          <w:bCs/>
          <w:color w:val="000000"/>
        </w:rPr>
        <w:t>Tasa de transiciones</w:t>
      </w:r>
      <w:r>
        <w:rPr>
          <w:color w:val="000000"/>
        </w:rPr>
        <w:t>: número de cambios entre estados distintos por escala, normalizado por la duración de la noche (3 features). Cuantifica la inestabilidad dinámica de cada escala temporal.</w:t>
      </w:r>
    </w:p>
    <w:p w14:paraId="02BD7E2F" w14:textId="77777777" w:rsidR="00C82816" w:rsidRDefault="00000000" w:rsidP="005C6CE0">
      <w:pPr>
        <w:spacing w:after="160" w:line="276" w:lineRule="auto"/>
        <w:jc w:val="both"/>
      </w:pPr>
      <w:r>
        <w:rPr>
          <w:color w:val="000000"/>
        </w:rPr>
        <w:t>Sobre estas 21 features se aplica PCA multiescala para identificar las dimensiones de mayor varianza del espacio nocturno, y se evalúa su asociación con índices clínicos convencionales (ODI3, T90) como validación de contenido.</w:t>
      </w:r>
    </w:p>
    <w:p w14:paraId="3A9E885F" w14:textId="77777777" w:rsidR="00C82816" w:rsidRDefault="00000000" w:rsidP="005C6CE0">
      <w:pPr>
        <w:pStyle w:val="Ttulo3"/>
        <w:spacing w:line="276" w:lineRule="auto"/>
      </w:pPr>
      <w:r>
        <w:t>3.5.5  Análisis de trayectorias y cadenas de Markov</w:t>
      </w:r>
    </w:p>
    <w:p w14:paraId="6EE2804C" w14:textId="77777777" w:rsidR="00C82816" w:rsidRDefault="00000000" w:rsidP="005C6CE0">
      <w:pPr>
        <w:spacing w:after="160" w:line="276" w:lineRule="auto"/>
        <w:jc w:val="both"/>
      </w:pPr>
      <w:r>
        <w:rPr>
          <w:color w:val="000000"/>
        </w:rPr>
        <w:t>La secuencia de estados a cada escala se analiza como cadena de Markov de primer orden (Norris, 1997): la matriz de transición P[i→j] estima la probabilidad de pasar del estado i al estado j en la siguiente ventana consecutiva. Este análisis permite identificar corredores de vulnerabilidad —pares de estados con probabilidad de transición hacia estados patológicos significativamente superior a la basal—, y cuantificar la resiliencia de la noche ante perturbaciones hipóxicas (probabilidad de retorno a estados protectores tras ingresar a un estado patológico). A partir de las matrices de transición por noche se aplica clustering K=3 sobre el espacio de trayectorias para identificar patrones de progresión nocturna recurrentes en la cohorte.</w:t>
      </w:r>
    </w:p>
    <w:p w14:paraId="0260E803" w14:textId="77777777" w:rsidR="00C82816" w:rsidRDefault="00000000" w:rsidP="005C6CE0">
      <w:pPr>
        <w:pStyle w:val="Ttulo2"/>
        <w:spacing w:line="276" w:lineRule="auto"/>
      </w:pPr>
      <w:r>
        <w:t>3.6  Modelos predictivos — Nivel 3 (Paciente)</w:t>
      </w:r>
    </w:p>
    <w:p w14:paraId="5AB16D11" w14:textId="77777777" w:rsidR="00C82816" w:rsidRDefault="00000000" w:rsidP="005C6CE0">
      <w:pPr>
        <w:spacing w:after="160" w:line="276" w:lineRule="auto"/>
        <w:jc w:val="both"/>
      </w:pPr>
      <w:r>
        <w:rPr>
          <w:color w:val="000000"/>
        </w:rPr>
        <w:t>El análisis a nivel de paciente busca aprender la relación entre las representaciones construidas en los niveles anteriores y la severidad clínica, con el objetivo de generar predicciones calibradas e interpretables. Se evalúan dos tareas de predicción con distintas unidades de análisis: la severidad de la noche completa y la severidad del siguiente evento individual.</w:t>
      </w:r>
    </w:p>
    <w:p w14:paraId="63B204EF" w14:textId="77777777" w:rsidR="00C82816" w:rsidRDefault="00000000" w:rsidP="005C6CE0">
      <w:pPr>
        <w:pStyle w:val="Ttulo3"/>
        <w:spacing w:line="276" w:lineRule="auto"/>
      </w:pPr>
      <w:r>
        <w:t>3.6.1  Clasificación de severidad nocturna</w:t>
      </w:r>
    </w:p>
    <w:p w14:paraId="3F743AE9" w14:textId="77777777" w:rsidR="00C82816" w:rsidRDefault="00000000" w:rsidP="005C6CE0">
      <w:pPr>
        <w:spacing w:after="160" w:line="276" w:lineRule="auto"/>
        <w:jc w:val="both"/>
      </w:pPr>
      <w:r>
        <w:rPr>
          <w:color w:val="000000"/>
        </w:rPr>
        <w:t>La matriz de diseño para los modelos de clasificación se construye integrando tres tablas analíticas de la capa Gold: nights.parquet (índices clínicos convencionales y estadísticas de señal cruda), night_features.parquet (features morfológicas y ARI nocturno) y night_multiscale_features.parquet (features de PAC States). El vector resultante por noche se organiza en cuatro bloques temáticos: índices clínicos convencionales (ODI3, T90); features morfológicas y de respuesta autonómica (distribución de morfotipos C1–C5, frac_C4C5, ARI nocturno medio [mean_ari] y percentil 90 [p90_ari]); features de PAC States (fracciones de estado, entropías y tasa de transiciones por escala); y estadísticas de señal cruda (percentiles de SpO₂, variabilidad de FC).</w:t>
      </w:r>
    </w:p>
    <w:p w14:paraId="6904E0AC" w14:textId="77777777" w:rsidR="00C82816" w:rsidRDefault="00000000" w:rsidP="005C6CE0">
      <w:pPr>
        <w:spacing w:after="160" w:line="276" w:lineRule="auto"/>
        <w:jc w:val="both"/>
      </w:pPr>
      <w:r>
        <w:rPr>
          <w:color w:val="000000"/>
        </w:rPr>
        <w:t xml:space="preserve">Se evalúan dos familias de modelos. </w:t>
      </w:r>
      <w:r>
        <w:rPr>
          <w:b/>
          <w:bCs/>
          <w:color w:val="000000"/>
        </w:rPr>
        <w:t>Gradient Boosting</w:t>
      </w:r>
      <w:r>
        <w:rPr>
          <w:color w:val="000000"/>
        </w:rPr>
        <w:t xml:space="preserve"> (LightGBM; Ke et al., 2017): modelo de ensamble basado en árboles de decisión con regularización por gradiente, particularmente adecuado para datos tabulares con features de distintas escalas y relaciones no lineales entre predictores. </w:t>
      </w:r>
      <w:r>
        <w:rPr>
          <w:b/>
          <w:bCs/>
          <w:color w:val="000000"/>
        </w:rPr>
        <w:t>Regresión Logística</w:t>
      </w:r>
      <w:r>
        <w:rPr>
          <w:color w:val="000000"/>
        </w:rPr>
        <w:t xml:space="preserve"> (LR; Hosmer et al., 2013): modelo lineal que opera como línea base interpretable. Su comparación con LightGBM </w:t>
        <w:lastRenderedPageBreak/>
        <w:t>permite evaluar en qué medida la relación entre features nocturnas y severidad es aproximadamente lineal.</w:t>
      </w:r>
      <w:r>
        <w:rPr>
          <w:color w:val="000000"/>
        </w:rPr>
        <w:t xml:space="preserve"> </w:t>
      </w:r>
      <w:r>
        <w:rPr>
          <w:b/>
          <w:bCs/>
          <w:color w:val="000000"/>
        </w:rPr>
        <w:t>Random Forest</w:t>
      </w:r>
      <w:r>
        <w:rPr>
          <w:color w:val="000000"/>
        </w:rPr>
        <w:t xml:space="preserve"> (RF; Breiman, 2001): modelo de ensamble basado en bagging de árboles de decisión. Aporta una segunda referencia no lineal, comparativamente más estable que LightGBM ante conjuntos de datos pequeños, y permite confirmar la consistencia de los resultados entre arquitecturas de ensamble distintas.</w:t>
      </w:r>
    </w:p>
    <w:p w14:paraId="7B2C1321" w14:textId="77777777" w:rsidR="00C82816" w:rsidRDefault="00000000" w:rsidP="005C6CE0">
      <w:pPr>
        <w:spacing w:after="160" w:line="276" w:lineRule="auto"/>
        <w:jc w:val="both"/>
      </w:pPr>
      <w:r>
        <w:rPr>
          <w:color w:val="000000"/>
        </w:rPr>
        <w:t>La variable dependiente es la categoría de severidad AASM definida por ODI3: Normal (&lt; 5 ev/h), Leve (5–15 ev/h), Moderado (15–30 ev/h) y Grave (≥ 30 ev/h). Se evalúa tanto la clasificación en cuatro categorías como la discriminación binaria (Normal/Leve vs. Moderado/Grave). Para cuantificar la contribución de cada bloque de features se realizan experimentos de ablación: modelos entrenados con un único bloque de features, con el objetivo de comparar el poder predictivo de los índices convencionales, las features morfológicas y las features de PAC States por separado.</w:t>
      </w:r>
    </w:p>
    <w:p w14:paraId="64E6C15D" w14:textId="77777777" w:rsidR="00C82816" w:rsidRDefault="00000000" w:rsidP="005C6CE0">
      <w:pPr>
        <w:pStyle w:val="Ttulo3"/>
        <w:spacing w:line="276" w:lineRule="auto"/>
      </w:pPr>
      <w:r>
        <w:t>3.6.2  Predicción del siguiente evento severo (NB07)</w:t>
      </w:r>
    </w:p>
    <w:p w14:paraId="0394E7AD" w14:textId="77777777" w:rsidR="00C82816" w:rsidRDefault="00000000" w:rsidP="005C6CE0">
      <w:pPr>
        <w:spacing w:after="160" w:line="276" w:lineRule="auto"/>
        <w:jc w:val="both"/>
      </w:pPr>
      <w:r>
        <w:rPr>
          <w:color w:val="000000"/>
        </w:rPr>
        <w:t>A partir del contexto PAC inmediato (estado actual a las tres escalas + historia reciente de estados y densidad de morfotipos) se entrena un modelo para predecir si el próximo EDO detectado en la noche será de morfotipo severo (C4 o C5). Esta tarea opera en tiempo real a nivel de evento, incorporando la dinámica secuencial de los estados como señal predictiva. El objetivo es evaluar si el sistema PAC, en tanto representación intermedia de la dinámica fisiológica, captura información anticipatoria sobre la morfología del próximo evento.</w:t>
      </w:r>
    </w:p>
    <w:p w14:paraId="028897FE" w14:textId="77777777" w:rsidR="00C82816" w:rsidRDefault="00000000" w:rsidP="005C6CE0">
      <w:pPr>
        <w:pStyle w:val="Ttulo3"/>
        <w:spacing w:line="276" w:lineRule="auto"/>
      </w:pPr>
      <w:r>
        <w:t>3.6.3  Score de riesgo nocturno</w:t>
      </w:r>
    </w:p>
    <w:p w14:paraId="4D3B8AF8" w14:textId="77777777" w:rsidR="00C82816" w:rsidRDefault="00000000" w:rsidP="005C6CE0">
      <w:pPr>
        <w:spacing w:after="160" w:line="276" w:lineRule="auto"/>
        <w:jc w:val="both"/>
      </w:pPr>
      <w:r>
        <w:rPr>
          <w:color w:val="000000"/>
        </w:rPr>
        <w:t>Como síntesis clínica de los modelos de clasificación, se construye un score de riesgo continuo en escala 0–100, calibrado para que su distribución sea monotónicamente creciente con la categoría AASM. El score integra las predicciones del modelo de mayor rendimiento en validación LOPO-CV y permite comunicar el riesgo nocturno en una escala clínicamente interpretable, con umbrales de corte definidos a partir de la distribución observada en la cohorte.</w:t>
      </w:r>
    </w:p>
    <w:p w14:paraId="004F1F92" w14:textId="77777777" w:rsidR="00C82816" w:rsidRDefault="00000000" w:rsidP="005C6CE0">
      <w:pPr>
        <w:pStyle w:val="Ttulo2"/>
        <w:spacing w:line="276" w:lineRule="auto"/>
      </w:pPr>
      <w:r>
        <w:t>3.7  Predicción prospectiva con lead time clínico (NB08)</w:t>
      </w:r>
    </w:p>
    <w:p w14:paraId="767AD57D" w14:textId="77777777" w:rsidR="00C82816" w:rsidRDefault="00000000" w:rsidP="005C6CE0">
      <w:pPr>
        <w:spacing w:after="160" w:line="276" w:lineRule="auto"/>
        <w:jc w:val="both"/>
      </w:pPr>
      <w:r>
        <w:rPr>
          <w:color w:val="000000"/>
        </w:rPr>
        <w:t>Las tareas predictivas de la sección anterior operan sobre el evento ya ocurrido o sobre la noche como unidad completa. Esta sección aborda una tarea prospectiva: anticipar la ocurrencia futura de un evento severo (morfotipo C4 o C5) con suficiente antelación temporal para activar el estimulador eléctrico transcutáneo del SOMNI 6000.</w:t>
      </w:r>
    </w:p>
    <w:p w14:paraId="615D181E" w14:textId="77777777" w:rsidR="00C82816" w:rsidRDefault="00000000" w:rsidP="005C6CE0">
      <w:pPr>
        <w:spacing w:after="160" w:line="276" w:lineRule="auto"/>
        <w:jc w:val="both"/>
      </w:pPr>
      <w:r>
        <w:rPr>
          <w:color w:val="000000"/>
        </w:rPr>
        <w:t>Se analizan 452.955 ventanas de 30 s extraídas de las 560 noches, cada una caracterizada por su vector PAC de 24 features (sección 3.5.2). La variable dependiente es la ocurrencia de al menos un evento C4/C5 en los H minutos siguientes, para horizontes H ∈ {2, 5, 10, 15} min. La prevalencia media de evento severo en el horizonte de referencia clínica (H=5 min) configura un problema de clasificación con fuerte desbalance de clases. Se utilizan la precisión media (Average Precision, AP) como métrica primaria —robusta al desbalance— y AUC-ROC, sensibilidad, especificidad y valor predictivo positivo (PPV) como métricas complementarias.</w:t>
      </w:r>
    </w:p>
    <w:p w14:paraId="4B731AC7" w14:textId="77777777" w:rsidR="00C82816" w:rsidRDefault="00000000" w:rsidP="005C6CE0">
      <w:pPr>
        <w:spacing w:after="160" w:line="276" w:lineRule="auto"/>
        <w:jc w:val="both"/>
      </w:pPr>
      <w:r>
        <w:rPr>
          <w:color w:val="000000"/>
        </w:rPr>
        <w:t>El análisis de horizontes evalúa H ∈ {2, 5, 10, 15} min bajo tres criterios metodológicos: (1) margen temporal suficiente para que el dispositivo active la estimulación antes del nadir hipóxico; (2) discriminación preservada en validación LOPO-CV; (3) valor predictivo positivo clínicamente relevante. La hipótesis de partida es que a mayor horizonte la anticipación aumenta pero podría modificarse la especificidad. El análisis cuantitativo del trade-off horizonte/métricas y la selección del horizonte de referencia se reportan en el Capítulo 8.</w:t>
      </w:r>
    </w:p>
    <w:p w14:paraId="19D72301" w14:textId="77777777" w:rsidR="00C82816" w:rsidRDefault="00000000" w:rsidP="005C6CE0">
      <w:pPr>
        <w:pStyle w:val="Ttulo2"/>
        <w:spacing w:line="276" w:lineRule="auto"/>
      </w:pPr>
      <w:r>
        <w:t>3.8  Estrategia de validación estadística</w:t>
      </w:r>
    </w:p>
    <w:p w14:paraId="6D66A79D" w14:textId="77777777" w:rsidR="00C82816" w:rsidRDefault="00000000" w:rsidP="005C6CE0">
      <w:pPr>
        <w:pStyle w:val="Ttulo3"/>
        <w:spacing w:line="276" w:lineRule="auto"/>
      </w:pPr>
      <w:r>
        <w:t>3.8.1  LOPO-CV y unidad efectiva de análisis</w:t>
      </w:r>
    </w:p>
    <w:p w14:paraId="16393277" w14:textId="77777777" w:rsidR="00C82816" w:rsidRDefault="00000000" w:rsidP="005C6CE0">
      <w:pPr>
        <w:spacing w:after="160" w:line="276" w:lineRule="auto"/>
        <w:jc w:val="both"/>
      </w:pPr>
      <w:r>
        <w:rPr>
          <w:color w:val="000000"/>
        </w:rPr>
        <w:t>Toda la validación de modelos predictivos se realiza mediante Leave-One-Patient-Out Cross-Validation (LOPO-CV; Roberts et al., 2017). En cada fold, las noches de un paciente son retiradas del entrenamiento y utilizadas exclusivamente como conjunto de evaluación; el proceso se repite para cada uno de los 12 pacientes. Las métricas reportadas —AUC-ROC, AP, sensibilidad, especificidad— corresponden al promedio de los 12 folds ± desvío estándar.</w:t>
      </w:r>
    </w:p>
    <w:p w14:paraId="2B51BF72" w14:textId="77777777" w:rsidR="00C82816" w:rsidRDefault="00000000" w:rsidP="005C6CE0">
      <w:pPr>
        <w:spacing w:after="160" w:line="276" w:lineRule="auto"/>
        <w:jc w:val="both"/>
      </w:pPr>
      <w:r>
        <w:rPr>
          <w:color w:val="000000"/>
        </w:rPr>
        <w:t>La unidad efectiva de análisis en la LOPO-CV es el paciente (n efectivo = 12), no la noche (n = 560). Esta distinción es fundamental: las noches de un mismo paciente no son observaciones independientes —comparten la anatomía, la historia clínica y los patrones fisiológicos basales del individuo—. Tratar las noches como observaciones independientes inflaría artificialmente la potencia estadística aparente. La LOPO-CV respeta esta estructura de dependencia al garantizar que el modelo nunca ve ninguna noche del paciente evaluado durante el entrenamiento del fold correspondiente.</w:t>
      </w:r>
    </w:p>
    <w:p w14:paraId="7A2A4570" w14:textId="77777777" w:rsidR="00C82816" w:rsidRDefault="00000000" w:rsidP="005C6CE0">
      <w:pPr>
        <w:pStyle w:val="Ttulo3"/>
        <w:spacing w:line="276" w:lineRule="auto"/>
      </w:pPr>
      <w:r>
        <w:t>3.8.2  Reproducibilidad inter-noche</w:t>
      </w:r>
    </w:p>
    <w:p w14:paraId="42B6CF66" w14:textId="77777777" w:rsidR="00C82816" w:rsidRDefault="00000000" w:rsidP="005C6CE0">
      <w:pPr>
        <w:spacing w:after="160" w:line="276" w:lineRule="auto"/>
        <w:jc w:val="both"/>
      </w:pPr>
      <w:r>
        <w:rPr>
          <w:color w:val="000000"/>
        </w:rPr>
        <w:t>La estabilidad de las métricas propuestas frente a la variabilidad intraindividual se evalúa mediante tres procedimientos complementarios:</w:t>
      </w:r>
    </w:p>
    <w:p w14:paraId="7A3F63AD" w14:textId="77777777" w:rsidR="00C82816" w:rsidRDefault="00000000" w:rsidP="005C6CE0">
      <w:pPr>
        <w:spacing w:after="160" w:line="276" w:lineRule="auto"/>
        <w:jc w:val="both"/>
      </w:pPr>
      <w:r>
        <w:rPr>
          <w:b/>
          <w:bCs/>
          <w:color w:val="000000"/>
        </w:rPr>
        <w:t>Coeficiente de correlación intraclase ICC(1,1)</w:t>
      </w:r>
      <w:r>
        <w:rPr>
          <w:color w:val="000000"/>
        </w:rPr>
        <w:t xml:space="preserve"> (Koo &amp; Li, 2016): cuantifica qué fracción de la varianza total de una métrica es atribuible a diferencias entre pacientes respecto a la variabilidad dentro del mismo paciente entre noches. Un ICC alto indica que la métrica distingue consistentemente entre individuos a pesar de la variabilidad noche a noche.</w:t>
      </w:r>
    </w:p>
    <w:p w14:paraId="6CDFEC11" w14:textId="77777777" w:rsidR="00C82816" w:rsidRDefault="00000000" w:rsidP="005C6CE0">
      <w:pPr>
        <w:spacing w:after="160" w:line="276" w:lineRule="auto"/>
        <w:jc w:val="both"/>
      </w:pPr>
      <w:r>
        <w:rPr>
          <w:b/>
          <w:bCs/>
          <w:color w:val="000000"/>
        </w:rPr>
        <w:t>Análisis de concordancia de Bland-Altman</w:t>
      </w:r>
      <w:r>
        <w:rPr>
          <w:color w:val="000000"/>
        </w:rPr>
        <w:t xml:space="preserve"> (Bland &amp; Altman, 1986): compara la estimación derivada de una sola noche contra el promedio multi-noche del mismo paciente, cuantificando el sesgo sistemático y los límites de concordancia a ±1,96 DE. Permite establecer cuántas noches son necesarias para obtener una estimación estable de cada métrica.</w:t>
      </w:r>
    </w:p>
    <w:p w14:paraId="65702A8E" w14:textId="77777777" w:rsidR="00C82816" w:rsidRDefault="00000000" w:rsidP="005C6CE0">
      <w:pPr>
        <w:spacing w:after="160" w:line="276" w:lineRule="auto"/>
        <w:jc w:val="both"/>
      </w:pPr>
      <w:r>
        <w:rPr>
          <w:b/>
          <w:bCs/>
          <w:color w:val="000000"/>
        </w:rPr>
        <w:t>Curvas de estabilización bootstrap del MAE</w:t>
      </w:r>
      <w:r>
        <w:rPr>
          <w:color w:val="000000"/>
        </w:rPr>
        <w:t>: para pacientes con ≥ 10 noches válidas (n = 8), se estima el error absoluto medio (MAE) en función del número de noches acumuladas mediante remuestreo bootstrap (Efron &amp; Tibshirani, 1993; 300 iteraciones por paciente). La convergencia del MAE hacia un valor estable define empíricamente el número mínimo de noches necesario para una estimación fiable de cada índice.</w:t>
      </w:r>
    </w:p>
    <w:p w14:paraId="1B1D7676" w14:textId="77777777" w:rsidR="00C82816" w:rsidRDefault="00000000" w:rsidP="005C6CE0">
      <w:pPr>
        <w:pStyle w:val="Ttulo3"/>
        <w:spacing w:line="276" w:lineRule="auto"/>
      </w:pPr>
      <w:r>
        <w:t>3.8.3  Interpretabilidad de modelos (SHAP)</w:t>
      </w:r>
    </w:p>
    <w:p w14:paraId="54563D6B" w14:textId="77777777" w:rsidR="00C82816" w:rsidRDefault="00000000" w:rsidP="005C6CE0">
      <w:pPr>
        <w:spacing w:after="160" w:line="276" w:lineRule="auto"/>
        <w:jc w:val="both"/>
      </w:pPr>
      <w:r>
        <w:rPr>
          <w:color w:val="000000"/>
        </w:rPr>
        <w:t xml:space="preserve">Los modelos LightGBM se interpretan mediante valores SHAP (SHapley Additive exPlanations; Lundberg &amp; Lee, 2017), que asignan a cada feature de cada observación una contribución aditiva a la predicción del modelo, con propiedades de eficiencia, simetría y consistencia derivadas de la teoría de juegos cooperativos. Los valores SHAP </w:t>
        <w:lastRenderedPageBreak/>
        <w:t>permiten: (a) identificar las features de mayor importancia global —ranking por valor SHAP medio absoluto—; (b) visualizar la dirección y no linealidad del efecto de cada feature sobre el riesgo predicho; y (c) examinar casos individuales para comprender qué factores determinaron la predicción para una noche o evento específico.</w:t>
      </w:r>
    </w:p>
    <w:p w14:paraId="0B7F26B0" w14:textId="77777777" w:rsidR="00C82816" w:rsidRDefault="00000000" w:rsidP="005C6CE0">
      <w:pPr>
        <w:pStyle w:val="Ttulo3"/>
        <w:spacing w:line="276" w:lineRule="auto"/>
      </w:pPr>
      <w:r>
        <w:t>3.8.4  Consideraciones sobre independencia estadística y variabilidad intraindividual</w:t>
      </w:r>
    </w:p>
    <w:p w14:paraId="27FBE83C" w14:textId="77777777" w:rsidR="00C82816" w:rsidRDefault="00000000" w:rsidP="005C6CE0">
      <w:pPr>
        <w:spacing w:after="160" w:line="276" w:lineRule="auto"/>
        <w:jc w:val="both"/>
      </w:pPr>
      <w:r>
        <w:rPr>
          <w:color w:val="000000"/>
        </w:rPr>
        <w:t>La variabilidad intraindividual presente en cohortes de monitoreo domiciliario longitudinal tiene dos implicancias metodológicas centrales para esta tesis. Primera: las métricas derivadas de una sola noche pueden no ser representativas del estado del paciente; por ello se evalúa explícitamente el número mínimo de noches necesario para una estimación estable (sección 3.8.2). Segunda: esta variabilidad no es un artefacto a minimizar sino información clínica: una misma persona puede presentar noches de alta carga hipóxica y noches sin eventos según el contexto postural, metabólico o conductual, y la caracterización de esa dinámica intraindividual es uno de los objetivos analíticos centrales del pipeline.</w:t>
      </w:r>
    </w:p>
    <w:p w14:paraId="0609056A" w14:textId="77777777" w:rsidR="00C82816" w:rsidRDefault="00000000" w:rsidP="005C6CE0">
      <w:pPr>
        <w:spacing w:after="160" w:line="276" w:lineRule="auto"/>
        <w:jc w:val="both"/>
      </w:pPr>
      <w:r>
        <w:rPr>
          <w:color w:val="000000"/>
        </w:rPr>
        <w:t>Adicionalmente, toda inferencia estadística en esta tesis se realiza con n efectivo = 12 pacientes. Los valores de p calculados sobre el pool completo de noches o eventos (n grande) producen valores estadísticamente significativos casi de forma automática debido al alto número de observaciones; por ello el énfasis interpretativo se pone en los tamaños de efecto (ρ de Spearman, AUC-ROC, ICC, AP) y en su consistencia entre los 12 folds LOPO-CV, más que en la significancia p &lt; 0,05. Esta postura metodológica se alinea con las recomendaciones recientes sobre el uso del valor p en ciencias biomédicas (Wasserstein &amp; Lazar, 2016).</w:t>
      </w:r>
    </w:p>
    <w:p w14:paraId="23216F27" w14:textId="77777777" w:rsidR="00C82816" w:rsidRDefault="00000000" w:rsidP="005C6CE0">
      <w:pPr>
        <w:pStyle w:val="Ttulo2"/>
        <w:spacing w:line="276" w:lineRule="auto"/>
      </w:pPr>
      <w:r>
        <w:t>Referencias</w:t>
      </w:r>
    </w:p>
    <w:p w14:paraId="54B1F51F" w14:textId="77777777" w:rsidR="00C82816" w:rsidRDefault="00000000" w:rsidP="005C6CE0">
      <w:pPr>
        <w:spacing w:after="160" w:line="276" w:lineRule="auto"/>
        <w:jc w:val="both"/>
      </w:pPr>
      <w:r>
        <w:rPr>
          <w:color w:val="000000"/>
        </w:rPr>
        <w:t>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European Heart Journal, 40(14), 1149–1157. https://doi.org/10.1093/eurheartj/ehy624</w:t>
      </w:r>
    </w:p>
    <w:p w14:paraId="4A158AD1" w14:textId="77777777" w:rsidR="00C82816" w:rsidRDefault="00000000" w:rsidP="005C6CE0">
      <w:pPr>
        <w:spacing w:after="160" w:line="276" w:lineRule="auto"/>
        <w:jc w:val="both"/>
      </w:pPr>
      <w:r>
        <w:rPr>
          <w:color w:val="000000"/>
        </w:rPr>
        <w:t>Berry, R. B., Budhiraja, R., Gottlieb, D. J., Gozal, D., Iber, C., Kapur, V. K., Marcus, C. L., Mehra, R., Parthasarathy, S., Quan, S. F., Redline, S., Strohl, K. P., Ward, S. L. D., &amp; Tangredi, M. M. (2012). Rules for scoring respiratory events in sleep: Update of the 2007 AASM Manual for the Scoring of Sleep and Associated Events. Journal of Clinical Sleep Medicine, 8(5), 597–619. https://doi.org/10.5664/jcsm.2172</w:t>
      </w:r>
    </w:p>
    <w:p w14:paraId="377B44A0" w14:textId="77777777" w:rsidR="00C82816" w:rsidRDefault="00000000" w:rsidP="005C6CE0">
      <w:pPr>
        <w:spacing w:after="160" w:line="276" w:lineRule="auto"/>
        <w:jc w:val="both"/>
      </w:pPr>
      <w:r>
        <w:rPr>
          <w:color w:val="000000"/>
        </w:rPr>
        <w:t>Bland, J. M., &amp; Altman, D. G. (1986). Statistical methods for assessing agreement between two methods of clinical measurement. The Lancet, 327(8476), 307–310. https://doi.org/10.1016/S0140-6736(86)90837-8</w:t>
      </w:r>
    </w:p>
    <w:p w14:paraId="0F0479A8" w14:textId="77777777" w:rsidR="00C82816" w:rsidRDefault="00000000" w:rsidP="005C6CE0">
      <w:pPr>
        <w:spacing w:after="160" w:line="276" w:lineRule="auto"/>
        <w:jc w:val="both"/>
      </w:pPr>
      <w:r>
        <w:rPr>
          <w:color w:val="000000"/>
        </w:rPr>
        <w:t>Efron, B., &amp; Tibshirani, R. J. (1993). An introduction to the bootstrap. Chapman &amp; Hall/CRC. https://doi.org/10.1201/9780429246593</w:t>
      </w:r>
    </w:p>
    <w:p w14:paraId="39BBD91B" w14:textId="77777777" w:rsidR="00C82816" w:rsidRDefault="00000000" w:rsidP="005C6CE0">
      <w:pPr>
        <w:spacing w:after="160" w:line="276" w:lineRule="auto"/>
        <w:jc w:val="both"/>
      </w:pPr>
      <w:r>
        <w:rPr>
          <w:color w:val="000000"/>
        </w:rPr>
        <w:t>Hosmer, D. W., Lemeshow, S., &amp; Sturdivant, R. X. (2013). Applied logistic regression (3rd ed.). Wiley. https://doi.org/10.1002/9781118548387</w:t>
      </w:r>
    </w:p>
    <w:p w14:paraId="7684A7B0" w14:textId="77777777" w:rsidR="00C82816" w:rsidRDefault="00000000" w:rsidP="005C6CE0">
      <w:pPr>
        <w:spacing w:after="160" w:line="276" w:lineRule="auto"/>
        <w:jc w:val="both"/>
      </w:pPr>
      <w:r>
        <w:rPr>
          <w:color w:val="000000"/>
        </w:rPr>
        <w:lastRenderedPageBreak/>
        <w:t>Jolliffe, I. T. (2002). Principal component analysis (2nd ed.). Springer.</w:t>
      </w:r>
    </w:p>
    <w:p w14:paraId="5A2204B2" w14:textId="77777777" w:rsidR="00C82816" w:rsidRDefault="00000000" w:rsidP="005C6CE0">
      <w:pPr>
        <w:spacing w:after="160" w:line="276" w:lineRule="auto"/>
        <w:jc w:val="both"/>
      </w:pPr>
      <w:r>
        <w:rPr>
          <w:color w:val="000000"/>
        </w:rPr>
        <w:t>Ke, G., Meng, Q., Finley, T., Wang, T., Chen, W., Ma, W., Ye, Q., &amp; Liu, T.-Y. (2017). LightGBM: A highly efficient gradient boosting decision tree. Advances in Neural Information Processing Systems, 30, 3146–3154.</w:t>
      </w:r>
    </w:p>
    <w:p w14:paraId="1B000001" w14:textId="77777777" w:rsidR="00C82816" w:rsidRDefault="00000000" w:rsidP="005C6CE0">
      <w:pPr>
        <w:spacing w:after="160" w:line="276" w:lineRule="auto"/>
        <w:jc w:val="both"/>
      </w:pPr>
      <w:r>
        <w:rPr>
          <w:color w:val="000000"/>
        </w:rPr>
        <w:t>Breiman, L. (2001). Random forests. Machine Learning, 45(1), 5–32. https://doi.org/10.1023/A:1010933404324</w:t>
      </w:r>
    </w:p>
    <w:p w14:paraId="661B00F2" w14:textId="77777777" w:rsidR="00C82816" w:rsidRDefault="00000000" w:rsidP="005C6CE0">
      <w:pPr>
        <w:spacing w:after="160" w:line="276" w:lineRule="auto"/>
        <w:jc w:val="both"/>
      </w:pPr>
      <w:r>
        <w:rPr>
          <w:color w:val="000000"/>
        </w:rPr>
        <w:t>Koo, T. K., &amp; Li, M. Y. (2016). A guideline of selecting and reporting intraclass correlation coefficients for reliability research. Journal of Chiropractic Medicine, 15(2), 155–163. https://doi.org/10.1016/j.jcm.2016.02.012</w:t>
      </w:r>
    </w:p>
    <w:p w14:paraId="35002D6A" w14:textId="77777777" w:rsidR="00C82816" w:rsidRDefault="00000000" w:rsidP="005C6CE0">
      <w:pPr>
        <w:spacing w:after="160" w:line="276" w:lineRule="auto"/>
        <w:jc w:val="both"/>
      </w:pPr>
      <w:r>
        <w:rPr>
          <w:color w:val="000000"/>
        </w:rPr>
        <w:t>Lundberg, S. M., &amp; Lee, S.-I. (2017). A unified approach to interpreting model predictions. Advances in Neural Information Processing Systems, 30, 4765–4774.</w:t>
      </w:r>
    </w:p>
    <w:p w14:paraId="62DB0BC1" w14:textId="77777777" w:rsidR="00C82816" w:rsidRDefault="00000000" w:rsidP="005C6CE0">
      <w:pPr>
        <w:spacing w:after="160" w:line="276" w:lineRule="auto"/>
        <w:jc w:val="both"/>
      </w:pPr>
      <w:r>
        <w:rPr>
          <w:color w:val="000000"/>
        </w:rPr>
        <w:t>MacQueen, J. (1967). Some methods for classification and analysis of multivariate observations. Proceedings of the Fifth Berkeley Symposium on Mathematical Statistics and Probability, 1, 281–297.</w:t>
      </w:r>
    </w:p>
    <w:p w14:paraId="085ED990" w14:textId="77777777" w:rsidR="00C82816" w:rsidRDefault="00000000" w:rsidP="005C6CE0">
      <w:pPr>
        <w:spacing w:after="160" w:line="276" w:lineRule="auto"/>
        <w:jc w:val="both"/>
      </w:pPr>
      <w:r>
        <w:rPr>
          <w:color w:val="000000"/>
        </w:rPr>
        <w:t>Norris, J. R. (1997). Markov chains. Cambridge University Press. https://doi.org/10.1017/CBO9780511810633</w:t>
      </w:r>
    </w:p>
    <w:p w14:paraId="39CD12C0" w14:textId="77777777" w:rsidR="00C82816" w:rsidRDefault="00000000" w:rsidP="005C6CE0">
      <w:pPr>
        <w:spacing w:after="160" w:line="276" w:lineRule="auto"/>
        <w:jc w:val="both"/>
      </w:pPr>
      <w:r>
        <w:rPr>
          <w:color w:val="000000"/>
        </w:rPr>
        <w:t>Rousseeuw, P. J. (1987). Silhouettes: A graphical aid to the interpretation and validation of cluster analysis. Journal of Computational and Applied Mathematics, 20, 53–65. https://doi.org/10.1016/0377-0427(87)90125-7</w:t>
      </w:r>
    </w:p>
    <w:p w14:paraId="0B551463" w14:textId="77777777" w:rsidR="00C82816" w:rsidRDefault="00000000" w:rsidP="005C6CE0">
      <w:pPr>
        <w:spacing w:after="160" w:line="276" w:lineRule="auto"/>
        <w:jc w:val="both"/>
      </w:pPr>
      <w:r>
        <w:rPr>
          <w:color w:val="000000"/>
        </w:rPr>
        <w:t>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14:paraId="59FBDC20" w14:textId="77777777" w:rsidR="00C82816" w:rsidRDefault="00000000" w:rsidP="005C6CE0">
      <w:pPr>
        <w:spacing w:after="160" w:line="276" w:lineRule="auto"/>
        <w:jc w:val="both"/>
      </w:pPr>
      <w:r>
        <w:rPr>
          <w:color w:val="000000"/>
        </w:rPr>
        <w:t>Shannon, C. E. (1948). A mathematical theory of communication. The Bell System Technical Journal, 27(3), 379–423. https://doi.org/10.1002/j.1538-7305.1948.tb01338.x</w:t>
      </w:r>
    </w:p>
    <w:p w14:paraId="2E38A060" w14:textId="77777777" w:rsidR="00C82816" w:rsidRDefault="00000000" w:rsidP="005C6CE0">
      <w:pPr>
        <w:spacing w:after="160" w:line="276" w:lineRule="auto"/>
        <w:jc w:val="both"/>
      </w:pPr>
      <w:r>
        <w:rPr>
          <w:color w:val="000000"/>
        </w:rPr>
        <w:t>Wasserstein, R. L., &amp; Lazar, N. A. (2016). The ASA statement on p-values: Context, process, and purpose. The American Statistician, 70(2), 129–133. https://doi.org/10.1080/00031305.2016.1154108</w:t>
      </w:r>
    </w:p>
    <w:p w14:paraId="4D6D5A2A" w14:textId="77777777" w:rsidR="00C82816" w:rsidRDefault="00000000" w:rsidP="005C6CE0">
      <w:pPr>
        <w:spacing w:after="160" w:line="276" w:lineRule="auto"/>
        <w:jc w:val="both"/>
      </w:pPr>
      <w:r>
        <w:rPr>
          <w:color w:val="000000"/>
        </w:rPr>
        <w:t>Yoon, H., &amp; Choi, S. H. (2023). Technologies for sleep monitoring at home: wearables and nearables. Biomedical Engineering Letters, 13(3), 313–327. https://doi.org/10.1007/s13534-023-00305-8</w:t>
      </w:r>
    </w:p>
    <w:p w14:paraId="7728EE8C" w14:textId="77777777" w:rsidR="00C82816" w:rsidRDefault="00C82816" w:rsidP="005C6CE0">
      <w:pPr>
        <w:spacing w:after="80" w:line="276" w:lineRule="auto"/>
      </w:pPr>
    </w:p>
    <w:p w14:paraId="78546346" w14:textId="77777777" w:rsidR="00C82816" w:rsidRDefault="00000000" w:rsidP="005C6CE0">
      <w:pPr>
        <w:spacing w:after="160" w:line="276" w:lineRule="auto"/>
        <w:jc w:val="both"/>
      </w:pPr>
      <w:r>
        <w:rPr>
          <w:color w:val="000000"/>
        </w:rPr>
        <w:t>Continúa en Capítulo 4 — Resultados</w:t>
      </w:r>
    </w:p>
    <w:sectPr w:rsidR="00C82816">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771B6" w14:textId="77777777" w:rsidR="00B452F7" w:rsidRDefault="00B452F7">
      <w:r>
        <w:separator/>
      </w:r>
    </w:p>
  </w:endnote>
  <w:endnote w:type="continuationSeparator" w:id="0">
    <w:p w14:paraId="4B4550D5" w14:textId="77777777" w:rsidR="00B452F7" w:rsidRDefault="00B45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C7218" w14:textId="77777777" w:rsidR="002A3DFD" w:rsidRDefault="002A3DFD" w:rsidP="002A3DFD">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7F68938A" w14:textId="683C764C" w:rsidR="00C82816" w:rsidRDefault="00C82816">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4BD82" w14:textId="77777777" w:rsidR="00B452F7" w:rsidRDefault="00B452F7">
      <w:r>
        <w:separator/>
      </w:r>
    </w:p>
  </w:footnote>
  <w:footnote w:type="continuationSeparator" w:id="0">
    <w:p w14:paraId="31282653" w14:textId="77777777" w:rsidR="00B452F7" w:rsidRDefault="00B45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8E0A9" w14:textId="266C467A" w:rsidR="00A95853" w:rsidRDefault="00A95853" w:rsidP="00A95853">
    <w:pPr>
      <w:pBdr>
        <w:bottom w:val="single" w:sz="4" w:space="0" w:color="1E3A5F"/>
      </w:pBdr>
      <w:spacing w:after="120"/>
    </w:pPr>
    <w:r>
      <w:rPr>
        <w:color w:val="6B7280"/>
        <w:sz w:val="18"/>
        <w:szCs w:val="18"/>
      </w:rPr>
      <w:t>Proyecto APNEA · Tesis de Maestría</w:t>
    </w:r>
    <w:r>
      <w:rPr>
        <w:i/>
        <w:iCs/>
        <w:color w:val="6B7280"/>
        <w:sz w:val="18"/>
        <w:szCs w:val="18"/>
      </w:rPr>
      <w:t xml:space="preserve">        Capítulo </w:t>
    </w:r>
    <w:r>
      <w:rPr>
        <w:i/>
        <w:iCs/>
        <w:color w:val="6B7280"/>
        <w:sz w:val="18"/>
        <w:szCs w:val="18"/>
      </w:rPr>
      <w:t>3</w:t>
    </w:r>
    <w:r>
      <w:rPr>
        <w:i/>
        <w:iCs/>
        <w:color w:val="6B7280"/>
        <w:sz w:val="18"/>
        <w:szCs w:val="18"/>
      </w:rPr>
      <w:t xml:space="preserve"> — M</w:t>
    </w:r>
    <w:r>
      <w:rPr>
        <w:i/>
        <w:iCs/>
        <w:color w:val="6B7280"/>
        <w:sz w:val="18"/>
        <w:szCs w:val="18"/>
      </w:rPr>
      <w:t>aterial &amp; Métodos</w:t>
    </w:r>
    <w:r>
      <w:rPr>
        <w:i/>
        <w:iCs/>
        <w:color w:val="6B7280"/>
        <w:sz w:val="18"/>
        <w:szCs w:val="18"/>
      </w:rPr>
      <w:t xml:space="preserve">  (v</w:t>
    </w:r>
    <w:r>
      <w:rPr>
        <w:i/>
        <w:iCs/>
        <w:color w:val="6B7280"/>
        <w:sz w:val="18"/>
        <w:szCs w:val="18"/>
      </w:rPr>
      <w:t>7</w:t>
    </w:r>
    <w:r>
      <w:rPr>
        <w:i/>
        <w:iCs/>
        <w:color w:val="6B7280"/>
        <w:sz w:val="18"/>
        <w:szCs w:val="18"/>
      </w:rPr>
      <w:t>)</w:t>
    </w:r>
  </w:p>
  <w:p w14:paraId="397D02E9" w14:textId="77777777" w:rsidR="00A95853" w:rsidRDefault="00A958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E6D08"/>
    <w:multiLevelType w:val="hybridMultilevel"/>
    <w:tmpl w:val="3232267E"/>
    <w:lvl w:ilvl="0" w:tplc="3B38258C">
      <w:start w:val="1"/>
      <w:numFmt w:val="bullet"/>
      <w:lvlText w:val="●"/>
      <w:lvlJc w:val="left"/>
      <w:pPr>
        <w:ind w:left="720" w:hanging="360"/>
      </w:pPr>
    </w:lvl>
    <w:lvl w:ilvl="1" w:tplc="BB7E4AA4">
      <w:start w:val="1"/>
      <w:numFmt w:val="bullet"/>
      <w:lvlText w:val="○"/>
      <w:lvlJc w:val="left"/>
      <w:pPr>
        <w:ind w:left="1440" w:hanging="360"/>
      </w:pPr>
    </w:lvl>
    <w:lvl w:ilvl="2" w:tplc="CB2E5626">
      <w:start w:val="1"/>
      <w:numFmt w:val="bullet"/>
      <w:lvlText w:val="■"/>
      <w:lvlJc w:val="left"/>
      <w:pPr>
        <w:ind w:left="2160" w:hanging="360"/>
      </w:pPr>
    </w:lvl>
    <w:lvl w:ilvl="3" w:tplc="8416C502">
      <w:start w:val="1"/>
      <w:numFmt w:val="bullet"/>
      <w:lvlText w:val="●"/>
      <w:lvlJc w:val="left"/>
      <w:pPr>
        <w:ind w:left="2880" w:hanging="360"/>
      </w:pPr>
    </w:lvl>
    <w:lvl w:ilvl="4" w:tplc="7A8EF7D2">
      <w:start w:val="1"/>
      <w:numFmt w:val="bullet"/>
      <w:lvlText w:val="○"/>
      <w:lvlJc w:val="left"/>
      <w:pPr>
        <w:ind w:left="3600" w:hanging="360"/>
      </w:pPr>
    </w:lvl>
    <w:lvl w:ilvl="5" w:tplc="ED881FEC">
      <w:start w:val="1"/>
      <w:numFmt w:val="bullet"/>
      <w:lvlText w:val="■"/>
      <w:lvlJc w:val="left"/>
      <w:pPr>
        <w:ind w:left="4320" w:hanging="360"/>
      </w:pPr>
    </w:lvl>
    <w:lvl w:ilvl="6" w:tplc="FCF01FD8">
      <w:start w:val="1"/>
      <w:numFmt w:val="bullet"/>
      <w:lvlText w:val="●"/>
      <w:lvlJc w:val="left"/>
      <w:pPr>
        <w:ind w:left="5040" w:hanging="360"/>
      </w:pPr>
    </w:lvl>
    <w:lvl w:ilvl="7" w:tplc="E1482708">
      <w:start w:val="1"/>
      <w:numFmt w:val="bullet"/>
      <w:lvlText w:val="●"/>
      <w:lvlJc w:val="left"/>
      <w:pPr>
        <w:ind w:left="5760" w:hanging="360"/>
      </w:pPr>
    </w:lvl>
    <w:lvl w:ilvl="8" w:tplc="E62E135A">
      <w:start w:val="1"/>
      <w:numFmt w:val="bullet"/>
      <w:lvlText w:val="●"/>
      <w:lvlJc w:val="left"/>
      <w:pPr>
        <w:ind w:left="6480" w:hanging="360"/>
      </w:pPr>
    </w:lvl>
  </w:abstractNum>
  <w:num w:numId="1" w16cid:durableId="1225720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816"/>
    <w:rsid w:val="002A3DFD"/>
    <w:rsid w:val="005C6CE0"/>
    <w:rsid w:val="00A95853"/>
    <w:rsid w:val="00B452F7"/>
    <w:rsid w:val="00C82816"/>
    <w:rsid w:val="00DE13F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15431CE"/>
  <w15:docId w15:val="{65E3F62D-91CB-2F46-AA6F-E1027222D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E3A5F"/>
      <w:sz w:val="40"/>
      <w:szCs w:val="40"/>
    </w:rPr>
  </w:style>
  <w:style w:type="paragraph" w:styleId="Ttulo2">
    <w:name w:val="heading 2"/>
    <w:uiPriority w:val="9"/>
    <w:unhideWhenUsed/>
    <w:qFormat/>
    <w:pPr>
      <w:spacing w:before="360" w:after="160"/>
      <w:outlineLvl w:val="1"/>
    </w:pPr>
    <w:rPr>
      <w:b/>
      <w:bCs/>
      <w:color w:val="1E3A5F"/>
      <w:sz w:val="28"/>
      <w:szCs w:val="28"/>
    </w:rPr>
  </w:style>
  <w:style w:type="paragraph" w:styleId="Ttulo3">
    <w:name w:val="heading 3"/>
    <w:uiPriority w:val="9"/>
    <w:unhideWhenUsed/>
    <w:qFormat/>
    <w:pPr>
      <w:spacing w:before="280" w:after="120"/>
      <w:outlineLvl w:val="2"/>
    </w:pPr>
    <w:rPr>
      <w:b/>
      <w:bCs/>
      <w:color w:val="1E3A5F"/>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95853"/>
    <w:pPr>
      <w:tabs>
        <w:tab w:val="center" w:pos="4419"/>
        <w:tab w:val="right" w:pos="8838"/>
      </w:tabs>
    </w:pPr>
  </w:style>
  <w:style w:type="character" w:customStyle="1" w:styleId="EncabezadoCar">
    <w:name w:val="Encabezado Car"/>
    <w:basedOn w:val="Fuentedeprrafopredeter"/>
    <w:link w:val="Encabezado"/>
    <w:uiPriority w:val="99"/>
    <w:rsid w:val="00A95853"/>
  </w:style>
  <w:style w:type="paragraph" w:styleId="Piedepgina">
    <w:name w:val="footer"/>
    <w:basedOn w:val="Normal"/>
    <w:link w:val="PiedepginaCar"/>
    <w:uiPriority w:val="99"/>
    <w:unhideWhenUsed/>
    <w:rsid w:val="00A95853"/>
    <w:pPr>
      <w:tabs>
        <w:tab w:val="center" w:pos="4419"/>
        <w:tab w:val="right" w:pos="8838"/>
      </w:tabs>
    </w:pPr>
  </w:style>
  <w:style w:type="character" w:customStyle="1" w:styleId="PiedepginaCar">
    <w:name w:val="Pie de página Car"/>
    <w:basedOn w:val="Fuentedeprrafopredeter"/>
    <w:link w:val="Piedepgina"/>
    <w:uiPriority w:val="99"/>
    <w:rsid w:val="00A95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5415</Words>
  <Characters>33524</Characters>
  <Application>Microsoft Office Word</Application>
  <DocSecurity>0</DocSecurity>
  <Lines>859</Lines>
  <Paragraphs>311</Paragraphs>
  <ScaleCrop>false</ScaleCrop>
  <Company/>
  <LinksUpToDate>false</LinksUpToDate>
  <CharactersWithSpaces>38628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4</cp:revision>
  <dcterms:created xsi:type="dcterms:W3CDTF">2026-05-24T12:16:00Z</dcterms:created>
  <dcterms:modified xsi:type="dcterms:W3CDTF">2026-05-24T16:15:00Z</dcterms:modified>
</cp:coreProperties>
</file>