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20F29"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59EC9A58" w14:textId="41536D3A" w:rsidR="003B2DDA" w:rsidRPr="00876E5F" w:rsidRDefault="005B61DD" w:rsidP="00876E5F">
      <w:pPr>
        <w:spacing w:after="80"/>
        <w:rPr>
          <w:color w:val="002060"/>
          <w:sz w:val="36"/>
          <w:szCs w:val="36"/>
        </w:rPr>
      </w:pPr>
      <w:r>
        <w:rPr>
          <w:b/>
          <w:bCs/>
          <w:color w:val="002060"/>
          <w:sz w:val="36"/>
          <w:szCs w:val="36"/>
        </w:rPr>
        <w:t xml:space="preserve">Estados </w:t>
      </w:r>
      <w:r w:rsidR="00000000">
        <w:rPr>
          <w:b/>
          <w:bCs/>
          <w:color w:val="002060"/>
          <w:sz w:val="36"/>
          <w:szCs w:val="36"/>
        </w:rPr>
        <w:t>PAC y Caracterización Multiescala de la Fisiología Nocturna</w:t>
      </w:r>
    </w:p>
    <w:p w14:paraId="64EA04F2" w14:textId="77777777" w:rsidR="003B2DDA" w:rsidRPr="00876E5F" w:rsidRDefault="00000000" w:rsidP="00876E5F">
      <w:pPr>
        <w:spacing w:after="400"/>
        <w:rPr>
          <w:sz w:val="18"/>
          <w:szCs w:val="18"/>
        </w:rPr>
      </w:pPr>
      <w:r>
        <w:rPr>
          <w:i/>
          <w:iCs/>
          <w:color w:val="666666"/>
          <w:sz w:val="18"/>
          <w:szCs w:val="18"/>
        </w:rPr>
        <w:t>Versión 1</w:t>
      </w:r>
      <w:r w:rsidR="00C520E4">
        <w:rPr>
          <w:i/>
          <w:iCs/>
          <w:color w:val="666666"/>
          <w:sz w:val="18"/>
          <w:szCs w:val="18"/>
        </w:rPr>
        <w:t>5</w:t>
      </w:r>
      <w:r>
        <w:rPr>
          <w:i/>
          <w:iCs/>
          <w:color w:val="666666"/>
          <w:sz w:val="18"/>
          <w:szCs w:val="18"/>
        </w:rPr>
        <w:t xml:space="preserve">  ·  Junio 2026</w:t>
      </w:r>
    </w:p>
    <w:p w14:paraId="00CCB619"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48728C10"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6D741761" w14:textId="77777777"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19B1DA2E" w14:textId="5676A3D6"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 xml:space="preserve">Tabla 5.2. Parámetros del sistema </w:t>
      </w:r>
      <w:r w:rsidR="00253824">
        <w:rPr>
          <w:rFonts w:asciiTheme="minorHAnsi" w:hAnsiTheme="minorHAnsi"/>
          <w:b/>
          <w:bCs/>
          <w:sz w:val="20"/>
          <w:szCs w:val="20"/>
        </w:rPr>
        <w:t xml:space="preserve">Estados </w:t>
      </w:r>
      <w:r>
        <w:rPr>
          <w:rFonts w:asciiTheme="minorHAnsi" w:hAnsiTheme="minorHAnsi"/>
          <w:b/>
          <w:bCs/>
          <w:sz w:val="20"/>
          <w:szCs w:val="20"/>
        </w:rPr>
        <w:t>PAC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046F9D13"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0BC670"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C8AB9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6B0E08"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06047A"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E67F4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2AEBC04"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7AA396A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984FD"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FC73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9C1B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9BA02"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1DCD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1A5D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60D921A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82A7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1D2F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6854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3B5D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3795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27A4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71B2BC3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ECB7D2"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4B6F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B62F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F892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D493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BF086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70ECB2BF"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(NB04, n = 85.277 eventos).</w:t>
      </w:r>
    </w:p>
    <w:p w14:paraId="43923EF3"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5C85C9F7" w14:textId="58D57A61" w:rsidR="003B2DDA" w:rsidRPr="00876E5F" w:rsidRDefault="00000000" w:rsidP="00876E5F">
      <w:pPr>
        <w:pStyle w:val="Ttulo2"/>
        <w:spacing w:line="360" w:lineRule="auto"/>
        <w:rPr>
          <w:rFonts w:asciiTheme="minorHAnsi" w:hAnsiTheme="minorHAnsi"/>
        </w:rPr>
      </w:pPr>
      <w:r>
        <w:rPr>
          <w:rFonts w:asciiTheme="minorHAnsi" w:hAnsiTheme="minorHAnsi"/>
        </w:rPr>
        <w:t xml:space="preserve">5.2  </w:t>
      </w:r>
      <w:r w:rsidR="00253824">
        <w:rPr>
          <w:rFonts w:asciiTheme="minorHAnsi" w:hAnsiTheme="minorHAnsi"/>
        </w:rPr>
        <w:t xml:space="preserve">Estados </w:t>
      </w:r>
      <w:r>
        <w:rPr>
          <w:rFonts w:asciiTheme="minorHAnsi" w:hAnsiTheme="minorHAnsi"/>
        </w:rPr>
        <w:t>PAC</w:t>
      </w:r>
      <w:r w:rsidR="00253824">
        <w:rPr>
          <w:rFonts w:asciiTheme="minorHAnsi" w:hAnsiTheme="minorHAnsi"/>
        </w:rPr>
        <w:t xml:space="preserve"> - E</w:t>
      </w:r>
      <w:r>
        <w:rPr>
          <w:rFonts w:asciiTheme="minorHAnsi" w:hAnsiTheme="minorHAnsi"/>
        </w:rPr>
        <w:t>scala S — microdinámica nocturna</w:t>
      </w:r>
    </w:p>
    <w:p w14:paraId="13A1F2D5"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46ED90A6" w14:textId="77777777"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22D2FDC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135EB474" w14:textId="0AAE875A" w:rsidR="003B2DDA" w:rsidRPr="00876E5F" w:rsidRDefault="00000000" w:rsidP="00876E5F">
      <w:pPr>
        <w:pStyle w:val="Ttulo2"/>
        <w:spacing w:line="360" w:lineRule="auto"/>
        <w:rPr>
          <w:rFonts w:asciiTheme="minorHAnsi" w:hAnsiTheme="minorHAnsi"/>
        </w:rPr>
      </w:pPr>
      <w:r>
        <w:rPr>
          <w:rFonts w:asciiTheme="minorHAnsi" w:hAnsiTheme="minorHAnsi"/>
        </w:rPr>
        <w:t xml:space="preserve">5.3  </w:t>
      </w:r>
      <w:r w:rsidR="00253824">
        <w:rPr>
          <w:rFonts w:asciiTheme="minorHAnsi" w:hAnsiTheme="minorHAnsi"/>
        </w:rPr>
        <w:t>Est</w:t>
      </w:r>
      <w:r w:rsidR="00C404DC">
        <w:rPr>
          <w:rFonts w:asciiTheme="minorHAnsi" w:hAnsiTheme="minorHAnsi"/>
        </w:rPr>
        <w:t>ad</w:t>
      </w:r>
      <w:r w:rsidR="00253824">
        <w:rPr>
          <w:rFonts w:asciiTheme="minorHAnsi" w:hAnsiTheme="minorHAnsi"/>
        </w:rPr>
        <w:t xml:space="preserve">os </w:t>
      </w:r>
      <w:r>
        <w:rPr>
          <w:rFonts w:asciiTheme="minorHAnsi" w:hAnsiTheme="minorHAnsi"/>
        </w:rPr>
        <w:t xml:space="preserve">PAC </w:t>
      </w:r>
      <w:r w:rsidR="00253824">
        <w:rPr>
          <w:rFonts w:asciiTheme="minorHAnsi" w:hAnsiTheme="minorHAnsi"/>
        </w:rPr>
        <w:t>-</w:t>
      </w:r>
      <w:r>
        <w:rPr>
          <w:rFonts w:asciiTheme="minorHAnsi" w:hAnsiTheme="minorHAnsi"/>
        </w:rPr>
        <w:t xml:space="preserve"> </w:t>
      </w:r>
      <w:r w:rsidR="00253824">
        <w:rPr>
          <w:rFonts w:asciiTheme="minorHAnsi" w:hAnsiTheme="minorHAnsi"/>
        </w:rPr>
        <w:t>E</w:t>
      </w:r>
      <w:r>
        <w:rPr>
          <w:rFonts w:asciiTheme="minorHAnsi" w:hAnsiTheme="minorHAnsi"/>
        </w:rPr>
        <w:t>scala M — regulación intermedia</w:t>
      </w:r>
    </w:p>
    <w:p w14:paraId="333D94F7" w14:textId="77777777" w:rsid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sidRPr="003F1079">
        <w:rPr>
          <w:rFonts w:asciiTheme="minorHAnsi" w:hAnsiTheme="minorHAnsi"/>
          <w:i/>
          <w:iCs/>
        </w:rPr>
        <w:t>Hypoxic Burden</w:t>
      </w:r>
      <w:r w:rsidRPr="003F1079">
        <w:rPr>
          <w:rFonts w:asciiTheme="minorHAnsi" w:hAnsiTheme="minorHAnsi"/>
        </w:rPr>
        <w:t xml:space="preserve"> HB</w:t>
      </w:r>
      <w:r>
        <w:rPr>
          <w:rFonts w:asciiTheme="minorHAnsi" w:hAnsiTheme="minorHAnsi"/>
          <w:vertAlign w:val="subscript"/>
        </w:rPr>
        <w:t>3</w:t>
      </w:r>
      <w:r w:rsidRPr="003F1079">
        <w:rPr>
          <w:rFonts w:asciiTheme="minorHAnsi" w:hAnsiTheme="minorHAnsi"/>
        </w:rPr>
        <w:t xml:space="preserve"> (ρ = +0,618) de todo el sistema, funcionando como marcador de períodos de hipoxemia acumulada sostenida. La Fig. 5.3 muestra los perfiles de SpO</w:t>
      </w:r>
      <w:r w:rsidRPr="003F1079">
        <w:rPr>
          <w:rFonts w:asciiTheme="minorHAnsi" w:hAnsiTheme="minorHAnsi" w:cs="Cambria Math"/>
        </w:rPr>
        <w:t>₂</w:t>
      </w:r>
      <w:r w:rsidRPr="003F1079">
        <w:rPr>
          <w:rFonts w:asciiTheme="minorHAnsi" w:hAnsiTheme="minorHAnsi"/>
        </w:rPr>
        <w:t>, FC y movimiento de cada estado: M1 se distingue por la SpO</w:t>
      </w:r>
      <w:r w:rsidRPr="003F1079">
        <w:rPr>
          <w:rFonts w:asciiTheme="minorHAnsi" w:hAnsiTheme="minorHAnsi" w:cs="Cambria Math"/>
        </w:rPr>
        <w:t>₂</w:t>
      </w:r>
      <w:r w:rsidRPr="003F1079">
        <w:rPr>
          <w:rFonts w:asciiTheme="minorHAnsi" w:hAnsiTheme="minorHAnsi"/>
        </w:rPr>
        <w:t xml:space="preserve"> más baja y la menor variabilidad cardíaca del sistema, mientras M0 y M2 presentan los perfiles más estables, con SpO</w:t>
      </w:r>
      <w:r w:rsidRPr="003F1079">
        <w:rPr>
          <w:rFonts w:asciiTheme="minorHAnsi" w:hAnsiTheme="minorHAnsi" w:cs="Cambria Math"/>
        </w:rPr>
        <w:t>₂</w:t>
      </w:r>
      <w:r w:rsidRPr="003F1079">
        <w:rPr>
          <w:rFonts w:asciiTheme="minorHAnsi" w:hAnsiTheme="minorHAnsi"/>
        </w:rPr>
        <w:t xml:space="preserve"> elevada y FC regular.</w:t>
      </w:r>
    </w:p>
    <w:p w14:paraId="5C88A4DD" w14:textId="77777777" w:rsidR="003F1079" w:rsidRDefault="003F1079" w:rsidP="003F1079">
      <w:pPr>
        <w:spacing w:before="300" w:after="60"/>
      </w:pPr>
      <w:r>
        <w:rPr>
          <w:rFonts w:asciiTheme="minorHAnsi" w:hAnsiTheme="minorHAnsi"/>
          <w:b/>
          <w:bCs/>
          <w:sz w:val="20"/>
          <w:szCs w:val="20"/>
        </w:rPr>
        <w:t>Figura 5.3. Perfil fisiológico de los cinco estados de escala M (5 min).</w:t>
      </w:r>
    </w:p>
    <w:p w14:paraId="0129AA06" w14:textId="77777777" w:rsidR="003F1079" w:rsidRDefault="003F1079" w:rsidP="003F1079">
      <w:pPr>
        <w:spacing w:after="80"/>
        <w:jc w:val="center"/>
      </w:pPr>
      <w:r>
        <w:rPr>
          <w:noProof/>
        </w:rPr>
        <w:drawing>
          <wp:inline distT="0" distB="0" distL="0" distR="0" wp14:anchorId="54D554F4" wp14:editId="1728E6C4">
            <wp:extent cx="5400000" cy="2973738"/>
            <wp:effectExtent l="0" t="0" r="0" b="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2973738"/>
                    </a:xfrm>
                    <a:prstGeom prst="rect">
                      <a:avLst/>
                    </a:prstGeom>
                  </pic:spPr>
                </pic:pic>
              </a:graphicData>
            </a:graphic>
          </wp:inline>
        </w:drawing>
      </w:r>
    </w:p>
    <w:p w14:paraId="366C65B2" w14:textId="77777777" w:rsidR="003F1079" w:rsidRPr="003F1079" w:rsidRDefault="003F1079" w:rsidP="003F1079">
      <w:pPr>
        <w:pStyle w:val="font-claude-response-body"/>
        <w:jc w:val="both"/>
        <w:rPr>
          <w:rFonts w:asciiTheme="minorHAnsi" w:hAnsiTheme="minorHAnsi"/>
          <w:i/>
          <w:iCs/>
          <w:sz w:val="18"/>
          <w:szCs w:val="18"/>
        </w:rPr>
      </w:pPr>
      <w:r w:rsidRPr="003F1079">
        <w:rPr>
          <w:rFonts w:asciiTheme="minorHAnsi" w:hAnsiTheme="minorHAnsi"/>
          <w:i/>
          <w:iCs/>
          <w:sz w:val="18"/>
          <w:szCs w:val="18"/>
        </w:rPr>
        <w:t>Nota. Perfil medio ± IQR de SpO</w:t>
      </w:r>
      <w:r w:rsidRPr="003F1079">
        <w:rPr>
          <w:rFonts w:asciiTheme="minorHAnsi" w:hAnsiTheme="minorHAnsi" w:cs="Cambria Math"/>
          <w:i/>
          <w:iCs/>
          <w:sz w:val="18"/>
          <w:szCs w:val="18"/>
        </w:rPr>
        <w:t>₂</w:t>
      </w:r>
      <w:r w:rsidRPr="003F1079">
        <w:rPr>
          <w:rFonts w:asciiTheme="minorHAnsi" w:hAnsiTheme="minorHAnsi"/>
          <w:i/>
          <w:iCs/>
          <w:sz w:val="18"/>
          <w:szCs w:val="18"/>
        </w:rPr>
        <w:t>, FC y MOV para cada estado M0–M4. n = 560 noches, cohorte completa.</w:t>
      </w:r>
    </w:p>
    <w:p w14:paraId="77863C5F" w14:textId="77777777" w:rsidR="003F1079" w:rsidRP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t xml:space="preserve">Un clustering K = 3 sobre las features de escala M identificó tres perfiles de trayectoria nocturna: Estable-Protector (~28 % de las noches, dominancia M0/M2), Carga Intermedia (~71 %, alternancia M4/M3) y Carga Hipóxica Alta (~1 %, alta fracción M1). Con n = 8 pacientes y ~7 noches CHA en el corpus, este resultado debe interpretarse como generador de hipótesis. El fenotipo es estadísticamente infrecuente pero morfológicamente extremo —M1 = 78 %, ARI = 0,28—, y su aparición exclusiva en pacientes clasificados como Moderado por el ODI3 sugiere que la dinámica nocturna podría identificar carga hipóxica que el índice de frecuencia no detecta. La </w:t>
      </w:r>
      <w:r w:rsidRPr="003F1079">
        <w:rPr>
          <w:rFonts w:asciiTheme="minorHAnsi" w:hAnsiTheme="minorHAnsi"/>
        </w:rPr>
        <w:lastRenderedPageBreak/>
        <w:t>confirmación requeriría replicación en cohortes más amplias. El Capítulo 6 retomará este hallazgo al cruzarlo con los modelos predictivos y la ablación de features.</w:t>
      </w:r>
    </w:p>
    <w:p w14:paraId="73C70497" w14:textId="77777777" w:rsidR="003B2DDA" w:rsidRPr="00876E5F" w:rsidRDefault="003F1079" w:rsidP="003F1079">
      <w:pPr>
        <w:spacing w:line="360" w:lineRule="auto"/>
        <w:jc w:val="both"/>
        <w:rPr>
          <w:rFonts w:asciiTheme="minorHAnsi" w:hAnsiTheme="minorHAnsi"/>
        </w:rPr>
      </w:pPr>
      <w:r w:rsidRPr="003F1079">
        <w:rPr>
          <w:rStyle w:val="nfasis"/>
          <w:rFonts w:asciiTheme="minorHAnsi" w:hAnsiTheme="minorHAnsi"/>
        </w:rPr>
        <w:t>Los estados M construyen las palabras: mientras M0 es el silencio entre estrofas, M1 es la palabra que se repite sin pausa (hipoxemia sostenida).</w:t>
      </w:r>
    </w:p>
    <w:p w14:paraId="35080D44" w14:textId="47699721" w:rsidR="003B2DDA" w:rsidRPr="00876E5F" w:rsidRDefault="00000000" w:rsidP="00876E5F">
      <w:pPr>
        <w:pStyle w:val="Ttulo2"/>
        <w:spacing w:line="360" w:lineRule="auto"/>
        <w:rPr>
          <w:rFonts w:asciiTheme="minorHAnsi" w:hAnsiTheme="minorHAnsi"/>
        </w:rPr>
      </w:pPr>
      <w:r>
        <w:rPr>
          <w:rFonts w:asciiTheme="minorHAnsi" w:hAnsiTheme="minorHAnsi"/>
        </w:rPr>
        <w:t xml:space="preserve">5.4  </w:t>
      </w:r>
      <w:r w:rsidR="00253824">
        <w:rPr>
          <w:rFonts w:asciiTheme="minorHAnsi" w:hAnsiTheme="minorHAnsi"/>
        </w:rPr>
        <w:t xml:space="preserve">Estados </w:t>
      </w:r>
      <w:r>
        <w:rPr>
          <w:rFonts w:asciiTheme="minorHAnsi" w:hAnsiTheme="minorHAnsi"/>
        </w:rPr>
        <w:t xml:space="preserve">PAC </w:t>
      </w:r>
      <w:r w:rsidR="00253824">
        <w:rPr>
          <w:rFonts w:asciiTheme="minorHAnsi" w:hAnsiTheme="minorHAnsi"/>
        </w:rPr>
        <w:t>-</w:t>
      </w:r>
      <w:r>
        <w:rPr>
          <w:rFonts w:asciiTheme="minorHAnsi" w:hAnsiTheme="minorHAnsi"/>
        </w:rPr>
        <w:t xml:space="preserve"> </w:t>
      </w:r>
      <w:r w:rsidR="00253824">
        <w:rPr>
          <w:rFonts w:asciiTheme="minorHAnsi" w:hAnsiTheme="minorHAnsi"/>
        </w:rPr>
        <w:t>E</w:t>
      </w:r>
      <w:r>
        <w:rPr>
          <w:rFonts w:asciiTheme="minorHAnsi" w:hAnsiTheme="minorHAnsi"/>
        </w:rPr>
        <w:t>scala L — arquitectura global</w:t>
      </w:r>
    </w:p>
    <w:p w14:paraId="10F1BFA6"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255203E5" w14:textId="77777777" w:rsidR="001629A8" w:rsidRPr="00AD52B2" w:rsidRDefault="001629A8" w:rsidP="001629A8">
      <w:pPr>
        <w:spacing w:line="360" w:lineRule="auto"/>
        <w:jc w:val="both"/>
        <w:rPr>
          <w:rFonts w:asciiTheme="minorHAnsi" w:hAnsiTheme="minorHAnsi"/>
        </w:rPr>
      </w:pPr>
      <w:r>
        <w:rPr>
          <w:rFonts w:asciiTheme="minorHAnsi" w:hAnsiTheme="minorHAnsi"/>
        </w:rPr>
        <w:t>Los estados L escriben el poema completo: L0 es una oda a la noche que no encuentra resolución; L3 es el poema que, pese a la tensión, cierra en calma.</w:t>
      </w:r>
    </w:p>
    <w:p w14:paraId="566C31B2" w14:textId="77777777"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0FBB5AC6"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219620FE" w14:textId="77777777" w:rsidR="00AD52B2" w:rsidRDefault="00AD52B2" w:rsidP="00AD52B2">
      <w:pPr>
        <w:spacing w:line="360" w:lineRule="auto"/>
        <w:jc w:val="both"/>
        <w:rPr>
          <w:rFonts w:asciiTheme="minorHAnsi" w:hAnsiTheme="minorHAnsi"/>
        </w:rPr>
      </w:pPr>
      <w:r>
        <w:rPr>
          <w:rFonts w:asciiTheme="minorHAnsi" w:hAnsiTheme="minorHAnsi"/>
        </w:rPr>
        <w:t xml:space="preserve">Para cada noche, el sistema Estados PAC produce 21 </w:t>
      </w:r>
      <w:r w:rsidRPr="003B1284">
        <w:rPr>
          <w:rFonts w:asciiTheme="minorHAnsi" w:hAnsiTheme="minorHAnsi"/>
          <w:i/>
          <w:iCs/>
        </w:rPr>
        <w:t>features</w:t>
      </w:r>
      <w:r>
        <w:rPr>
          <w:rFonts w:asciiTheme="minorHAnsi" w:hAnsiTheme="minorHAnsi"/>
        </w:rPr>
        <w:t xml:space="preserve"> dinámicas por noche: fracciones de tiempo en cada estado de las escalas S (S0–S5; S6 se excluye de la matriz nocturna por su baja frecuencia), M (M0–M4) y L (L0–L3), que totalizan 15 fracciones; entropía de Shannon por escala (3 valores); y tasa de transición por escala (3 valores). </w:t>
      </w:r>
      <w:r w:rsidR="003B1284">
        <w:rPr>
          <w:rFonts w:asciiTheme="minorHAnsi" w:hAnsiTheme="minorHAnsi"/>
        </w:rPr>
        <w:t>Un PCA sobre esta matriz de 560 noches explica el 36,7 % en PC1, con</w:t>
      </w:r>
      <w:r>
        <w:rPr>
          <w:rFonts w:asciiTheme="minorHAnsi" w:hAnsiTheme="minorHAnsi"/>
        </w:rPr>
        <w:t xml:space="preserve"> cargas </w:t>
      </w:r>
      <w:r>
        <w:rPr>
          <w:rFonts w:asciiTheme="minorHAnsi" w:hAnsiTheme="minorHAnsi"/>
          <w:i/>
          <w:iCs/>
        </w:rPr>
        <w:t>dominantes en fracciones de estado de baja carga (escalas S y M)</w:t>
      </w:r>
      <w:r>
        <w:rPr>
          <w:rFonts w:asciiTheme="minorHAnsi" w:hAnsiTheme="minorHAnsi"/>
        </w:rPr>
        <w:t xml:space="preserve">: la primera dimensión de variación entre noches está determinada por la proporción de tiempo </w:t>
      </w:r>
      <w:r>
        <w:rPr>
          <w:rFonts w:asciiTheme="minorHAnsi" w:hAnsiTheme="minorHAnsi"/>
        </w:rPr>
        <w:lastRenderedPageBreak/>
        <w:t xml:space="preserve">en estados protectores frente a estados de alta carga. Estas 21 features se incorporan a </w:t>
      </w:r>
      <w:r>
        <w:rPr>
          <w:rFonts w:asciiTheme="minorHAnsi" w:hAnsiTheme="minorHAnsi"/>
          <w:i/>
          <w:iCs/>
        </w:rPr>
        <w:t>nights.parquet</w:t>
      </w:r>
      <w:r>
        <w:rPr>
          <w:rFonts w:asciiTheme="minorHAnsi" w:hAnsiTheme="minorHAnsi"/>
        </w:rPr>
        <w:t xml:space="preserve"> como insumo de los modelos del Capítulo 6.</w:t>
      </w:r>
    </w:p>
    <w:p w14:paraId="177C798E" w14:textId="77777777" w:rsidR="003B2DDA" w:rsidRPr="00AD52B2" w:rsidRDefault="00000000" w:rsidP="00AD52B2">
      <w:pPr>
        <w:pStyle w:val="Ttulo2"/>
        <w:rPr>
          <w:color w:val="002060"/>
        </w:rPr>
      </w:pPr>
      <w:r>
        <w:rPr>
          <w:color w:val="002060"/>
        </w:rPr>
        <w:t>5.6  Especialización funcional por escala — hallazgo central</w:t>
      </w:r>
    </w:p>
    <w:p w14:paraId="1D5008CA" w14:textId="77777777" w:rsidR="003B1284"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w:t>
      </w:r>
    </w:p>
    <w:p w14:paraId="226DFCCF" w14:textId="4384A3C0" w:rsidR="003B1284" w:rsidRPr="00876E5F" w:rsidRDefault="003B1284" w:rsidP="003B1284">
      <w:pPr>
        <w:spacing w:before="200" w:after="60" w:line="360" w:lineRule="auto"/>
        <w:rPr>
          <w:rFonts w:asciiTheme="minorHAnsi" w:hAnsiTheme="minorHAnsi"/>
        </w:rPr>
      </w:pPr>
      <w:r>
        <w:rPr>
          <w:rFonts w:asciiTheme="minorHAnsi" w:hAnsiTheme="minorHAnsi"/>
          <w:b/>
          <w:bCs/>
          <w:sz w:val="20"/>
          <w:szCs w:val="20"/>
        </w:rPr>
        <w:t xml:space="preserve">Tabla 5.3. Especialización funcional de escalas </w:t>
      </w:r>
      <w:r w:rsidR="00253824">
        <w:rPr>
          <w:rFonts w:asciiTheme="minorHAnsi" w:hAnsiTheme="minorHAnsi"/>
          <w:b/>
          <w:bCs/>
          <w:sz w:val="20"/>
          <w:szCs w:val="20"/>
        </w:rPr>
        <w:t xml:space="preserve">Estados </w:t>
      </w:r>
      <w:r>
        <w:rPr>
          <w:rFonts w:asciiTheme="minorHAnsi" w:hAnsiTheme="minorHAnsi"/>
          <w:b/>
          <w:bCs/>
          <w:sz w:val="20"/>
          <w:szCs w:val="20"/>
        </w:rPr>
        <w:t>PAC por dimensión fisiológica nocturna.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1284" w:rsidRPr="00876E5F" w14:paraId="46C8B758"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88595A"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D8CED4"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835B87"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35B32F1"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BE2CC8"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ρ Spearman</w:t>
            </w:r>
          </w:p>
        </w:tc>
      </w:tr>
      <w:tr w:rsidR="003B1284" w:rsidRPr="00876E5F" w14:paraId="292572EC"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E77C6"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5A16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CAD6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96085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BA27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+0,691</w:t>
            </w:r>
          </w:p>
        </w:tc>
      </w:tr>
      <w:tr w:rsidR="003B1284" w:rsidRPr="00876E5F" w14:paraId="7617AD10"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69596"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56AC5"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DC1C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01B0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9C1A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+0,744</w:t>
            </w:r>
          </w:p>
        </w:tc>
      </w:tr>
      <w:tr w:rsidR="003B1284" w:rsidRPr="00876E5F" w14:paraId="3020EB35"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726E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BB7D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HB</w:t>
            </w:r>
            <w:r w:rsidRPr="00374B2E">
              <w:rPr>
                <w:rFonts w:asciiTheme="minorHAnsi" w:hAnsiTheme="minorHAnsi"/>
                <w:sz w:val="20"/>
                <w:szCs w:val="20"/>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AA1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21F4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6C85A"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+0,618</w:t>
            </w:r>
          </w:p>
        </w:tc>
      </w:tr>
      <w:tr w:rsidR="003B1284" w:rsidRPr="00876E5F" w14:paraId="6742A56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C17C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A1DF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B73C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663C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F91A2"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+0,637</w:t>
            </w:r>
          </w:p>
        </w:tc>
      </w:tr>
      <w:tr w:rsidR="003B1284" w:rsidRPr="00876E5F" w14:paraId="064317DF"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F568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830A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FFAF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BEDB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A3A81"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+0,705</w:t>
            </w:r>
          </w:p>
        </w:tc>
      </w:tr>
    </w:tbl>
    <w:p w14:paraId="56F7718B" w14:textId="77777777" w:rsidR="003B1284" w:rsidRDefault="003B1284" w:rsidP="003B1284">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6DCBCFCA" w14:textId="77777777" w:rsidR="003B1284" w:rsidRPr="003B1284" w:rsidRDefault="003B1284" w:rsidP="003B1284">
      <w:pPr>
        <w:spacing w:before="300" w:after="60" w:line="360" w:lineRule="auto"/>
        <w:jc w:val="both"/>
        <w:rPr>
          <w:rFonts w:asciiTheme="minorHAnsi" w:hAnsiTheme="minorHAnsi"/>
        </w:rPr>
      </w:pPr>
      <w:r w:rsidRPr="003B1284">
        <w:rPr>
          <w:rFonts w:asciiTheme="minorHAnsi" w:hAnsiTheme="minorHAnsi"/>
        </w:rPr>
        <w:t>Ninguna escala sola captura las cuatro dimensiones —el mapa de correlaciones (Fig. 5.5) muestra visualmente este patrón—: la representación multiescala sería necesaria para una caracterización completa de la noche.</w:t>
      </w:r>
    </w:p>
    <w:p w14:paraId="3EEF609C" w14:textId="77777777" w:rsidR="003B1284" w:rsidRDefault="003B1284" w:rsidP="003B1284">
      <w:pPr>
        <w:spacing w:before="300" w:after="60"/>
      </w:pPr>
      <w:r>
        <w:rPr>
          <w:rFonts w:asciiTheme="minorHAnsi" w:hAnsiTheme="minorHAnsi"/>
          <w:b/>
          <w:bCs/>
          <w:sz w:val="20"/>
          <w:szCs w:val="20"/>
        </w:rPr>
        <w:t>Figura 5.5. Mapa de correlaciones de Spearman entre features nocturnas multiescala y índices fisiológicos.</w:t>
      </w:r>
    </w:p>
    <w:p w14:paraId="005A0DA1" w14:textId="77777777" w:rsidR="003B1284" w:rsidRDefault="003B1284" w:rsidP="003B1284">
      <w:pPr>
        <w:spacing w:after="80"/>
        <w:jc w:val="center"/>
      </w:pPr>
      <w:r>
        <w:rPr>
          <w:noProof/>
        </w:rPr>
        <w:lastRenderedPageBreak/>
        <w:drawing>
          <wp:inline distT="0" distB="0" distL="0" distR="0" wp14:anchorId="121CA46B" wp14:editId="6FDC4A0D">
            <wp:extent cx="5000000" cy="3401552"/>
            <wp:effectExtent l="0" t="0" r="0" b="0"/>
            <wp:docPr id="175961177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00000" cy="3401552"/>
                    </a:xfrm>
                    <a:prstGeom prst="rect">
                      <a:avLst/>
                    </a:prstGeom>
                  </pic:spPr>
                </pic:pic>
              </a:graphicData>
            </a:graphic>
          </wp:inline>
        </w:drawing>
      </w:r>
    </w:p>
    <w:p w14:paraId="19C97B82" w14:textId="77777777" w:rsidR="003B1284" w:rsidRDefault="003B1284" w:rsidP="003B1284">
      <w:pPr>
        <w:spacing w:after="200"/>
        <w:jc w:val="both"/>
      </w:pPr>
      <w:r>
        <w:rPr>
          <w:rFonts w:asciiTheme="minorHAnsi" w:hAnsiTheme="minorHAnsi"/>
          <w:i/>
          <w:iCs/>
          <w:sz w:val="18"/>
          <w:szCs w:val="18"/>
        </w:rPr>
        <w:t>Nota. Correlaciones de Spearman (ρ) entre las fracciones de estado PAC (escalas S, M y L) y los índices nocturnos ODI3, T90, ARI y HB₃. La especialización funcional emerge del patrón: S4→ODI3 (ρ = +0,691), M1→T90 (ρ = +0,744), S5→ARI (ρ = +0,637), L0→T90 (ρ = +0,705)</w:t>
      </w:r>
      <w:r w:rsidR="00374B2E">
        <w:rPr>
          <w:rFonts w:asciiTheme="minorHAnsi" w:hAnsiTheme="minorHAnsi"/>
          <w:i/>
          <w:iCs/>
          <w:sz w:val="18"/>
          <w:szCs w:val="18"/>
        </w:rPr>
        <w:t>.</w:t>
      </w:r>
      <w:r>
        <w:rPr>
          <w:rFonts w:asciiTheme="minorHAnsi" w:hAnsiTheme="minorHAnsi"/>
          <w:i/>
          <w:iCs/>
          <w:sz w:val="18"/>
          <w:szCs w:val="18"/>
        </w:rPr>
        <w:t xml:space="preserve"> </w:t>
      </w:r>
    </w:p>
    <w:p w14:paraId="6193EF89" w14:textId="77777777" w:rsidR="003B1284" w:rsidRPr="00AD52B2" w:rsidRDefault="003B1284" w:rsidP="003B1284">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5.6 (PCA multiescala y fenotipos K = 3, proyección 560 noches).</w:t>
      </w:r>
    </w:p>
    <w:p w14:paraId="035943A8"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exclusivamente en pacientes con severidad AASM Moderada, lo que sugiere que el perfil dinámico nocturno puede identificar cargas hipóxicas que los índices de frecuencia convencionales subestiman.</w:t>
      </w:r>
    </w:p>
    <w:p w14:paraId="12852467"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18D248E1" w14:textId="77777777" w:rsidR="00434B3A" w:rsidRDefault="00434B3A" w:rsidP="00434B3A">
      <w:pPr>
        <w:pStyle w:val="NormalWeb"/>
        <w:spacing w:line="360" w:lineRule="auto"/>
        <w:jc w:val="both"/>
        <w:rPr>
          <w:rFonts w:asciiTheme="minorHAnsi" w:hAnsiTheme="minorHAnsi"/>
        </w:rPr>
      </w:pPr>
      <w:r>
        <w:rPr>
          <w:rFonts w:asciiTheme="minorHAnsi" w:hAnsiTheme="minorHAnsi"/>
        </w:rPr>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5642A1D3"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5546FD6F" w14:textId="77777777" w:rsidR="00434B3A" w:rsidRPr="00434B3A" w:rsidRDefault="00434B3A" w:rsidP="00434B3A">
      <w:pPr>
        <w:pStyle w:val="NormalWeb"/>
        <w:spacing w:line="360" w:lineRule="auto"/>
        <w:jc w:val="both"/>
        <w:rPr>
          <w:rFonts w:asciiTheme="minorHAnsi" w:hAnsiTheme="minorHAnsi"/>
        </w:rPr>
      </w:pPr>
      <w:r>
        <w:rPr>
          <w:rFonts w:asciiTheme="minorHAnsi" w:hAnsiTheme="minorHAnsi"/>
        </w:rPr>
        <w:t xml:space="preserve">Tres escalas, cuatro dimensiones, un mismo poema fisiológico: la noche del SAOS no tiene un solo verso sino una </w:t>
      </w:r>
      <w:r w:rsidR="00E9736E">
        <w:rPr>
          <w:rFonts w:asciiTheme="minorHAnsi" w:hAnsiTheme="minorHAnsi"/>
        </w:rPr>
        <w:t>obra</w:t>
      </w:r>
      <w:r>
        <w:rPr>
          <w:rFonts w:asciiTheme="minorHAnsi" w:hAnsiTheme="minorHAnsi"/>
        </w:rPr>
        <w:t xml:space="preserve"> completa.</w:t>
      </w:r>
    </w:p>
    <w:p w14:paraId="1F7566BD" w14:textId="77777777" w:rsidR="00D27EA8" w:rsidRDefault="00000000">
      <w:r>
        <w:t>El Capítulo 6 convierte estas representaciones en predicciones: acoplamiento morfotipo–estado, modelos de severidad y Risk Score PAC.</w:t>
      </w:r>
    </w:p>
    <w:p w14:paraId="75F32B36" w14:textId="77777777" w:rsidR="003B2DDA" w:rsidRDefault="003B2DDA">
      <w:pPr>
        <w:spacing w:before="400"/>
      </w:pPr>
    </w:p>
    <w:sectPr w:rsidR="003B2DD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C7E50" w14:textId="77777777" w:rsidR="00BE3D49" w:rsidRDefault="00BE3D49">
      <w:r>
        <w:separator/>
      </w:r>
    </w:p>
  </w:endnote>
  <w:endnote w:type="continuationSeparator" w:id="0">
    <w:p w14:paraId="2284DE7E" w14:textId="77777777" w:rsidR="00BE3D49" w:rsidRDefault="00BE3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BFCBD"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01ABB565"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87211" w14:textId="77777777" w:rsidR="00BE3D49" w:rsidRDefault="00BE3D49">
      <w:r>
        <w:separator/>
      </w:r>
    </w:p>
  </w:footnote>
  <w:footnote w:type="continuationSeparator" w:id="0">
    <w:p w14:paraId="415A5972" w14:textId="77777777" w:rsidR="00BE3D49" w:rsidRDefault="00BE3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DC16" w14:textId="77777777"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C520E4">
      <w:rPr>
        <w:color w:val="747474" w:themeColor="background2" w:themeShade="80"/>
        <w:sz w:val="18"/>
        <w:szCs w:val="18"/>
      </w:rPr>
      <w:t>12</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0D512F"/>
    <w:rsid w:val="000E7985"/>
    <w:rsid w:val="0012484E"/>
    <w:rsid w:val="001629A8"/>
    <w:rsid w:val="001A42FA"/>
    <w:rsid w:val="00253824"/>
    <w:rsid w:val="00293348"/>
    <w:rsid w:val="003209C3"/>
    <w:rsid w:val="00374B2E"/>
    <w:rsid w:val="003B1284"/>
    <w:rsid w:val="003B2DDA"/>
    <w:rsid w:val="003F1079"/>
    <w:rsid w:val="00434B3A"/>
    <w:rsid w:val="004C5CAC"/>
    <w:rsid w:val="00523356"/>
    <w:rsid w:val="005B61DD"/>
    <w:rsid w:val="00730D4D"/>
    <w:rsid w:val="00783361"/>
    <w:rsid w:val="007D5BA6"/>
    <w:rsid w:val="00833978"/>
    <w:rsid w:val="00876E5F"/>
    <w:rsid w:val="008F0E9D"/>
    <w:rsid w:val="00A41D71"/>
    <w:rsid w:val="00A530A0"/>
    <w:rsid w:val="00AD52B2"/>
    <w:rsid w:val="00BE3D49"/>
    <w:rsid w:val="00C404DC"/>
    <w:rsid w:val="00C520E4"/>
    <w:rsid w:val="00D27EA8"/>
    <w:rsid w:val="00D736CE"/>
    <w:rsid w:val="00E077F1"/>
    <w:rsid w:val="00E3349B"/>
    <w:rsid w:val="00E9736E"/>
    <w:rsid w:val="00EA7875"/>
    <w:rsid w:val="00FF5C20"/>
    <w:rsid w:val="00FF65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6C725C9"/>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3F10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1814</Words>
  <Characters>9256</Characters>
  <Application>Microsoft Office Word</Application>
  <DocSecurity>0</DocSecurity>
  <Lines>205</Lines>
  <Paragraphs>110</Paragraphs>
  <ScaleCrop>false</ScaleCrop>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6</cp:revision>
  <dcterms:created xsi:type="dcterms:W3CDTF">2026-06-08T22:18:00Z</dcterms:created>
  <dcterms:modified xsi:type="dcterms:W3CDTF">2026-06-10T10:52:00Z</dcterms:modified>
</cp:coreProperties>
</file>