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5E57" w14:textId="77777777" w:rsidR="005741AE" w:rsidRDefault="00000000">
      <w:pPr>
        <w:spacing w:after="40"/>
      </w:pPr>
      <w:r>
        <w:rPr>
          <w:b/>
          <w:bCs/>
          <w:color w:val="6B7280"/>
          <w:sz w:val="20"/>
          <w:szCs w:val="20"/>
        </w:rPr>
        <w:t>CAPÍTULO 5</w:t>
      </w:r>
    </w:p>
    <w:p w14:paraId="7FADE94C" w14:textId="77777777" w:rsidR="005741AE" w:rsidRDefault="00000000">
      <w:pPr>
        <w:spacing w:after="80"/>
      </w:pPr>
      <w:r>
        <w:rPr>
          <w:b/>
          <w:bCs/>
          <w:color w:val="1E3A5F"/>
          <w:sz w:val="36"/>
          <w:szCs w:val="36"/>
        </w:rPr>
        <w:t>PAC States y Caracterización Multiescala de la Fisiología Nocturna</w:t>
      </w:r>
    </w:p>
    <w:p w14:paraId="4DDC0391" w14:textId="3943EB74" w:rsidR="005741AE" w:rsidRDefault="00000000">
      <w:pPr>
        <w:pBdr>
          <w:bottom w:val="single" w:sz="6" w:space="8" w:color="1E3A5F"/>
        </w:pBdr>
        <w:spacing w:after="400"/>
      </w:pPr>
      <w:r>
        <w:rPr>
          <w:color w:val="6B7280"/>
          <w:sz w:val="18"/>
          <w:szCs w:val="18"/>
        </w:rPr>
        <w:t>Versión 1</w:t>
      </w:r>
      <w:r w:rsidR="008404BA">
        <w:rPr>
          <w:color w:val="6B7280"/>
          <w:sz w:val="18"/>
          <w:szCs w:val="18"/>
        </w:rPr>
        <w:t>3</w:t>
      </w:r>
      <w:r>
        <w:rPr>
          <w:color w:val="6B7280"/>
          <w:sz w:val="18"/>
          <w:szCs w:val="18"/>
        </w:rPr>
        <w:t xml:space="preserve">  ·  Mayo 2026</w:t>
      </w:r>
    </w:p>
    <w:p w14:paraId="0C81AE5E" w14:textId="77777777" w:rsidR="005741AE" w:rsidRDefault="00000000">
      <w:pPr>
        <w:spacing w:after="160" w:line="276" w:lineRule="auto"/>
        <w:jc w:val="both"/>
      </w:pPr>
      <w:r>
        <w:t xml:space="preserve">Este capítulo integra los resultados de dos análisis del pipeline PAC_v3. </w:t>
      </w:r>
      <w:r>
        <w:rPr>
          <w:b/>
          <w:bCs/>
        </w:rPr>
        <w:t>NB03</w:t>
      </w:r>
      <w:r>
        <w:t xml:space="preserve"> valida el Índice de Reactividad Autonómica (ARI) como característica nocturna estable —mediante ICC(1,1) y análisis de estabilidad multinoche— y construye el vector de 24 </w:t>
      </w:r>
      <w:r>
        <w:rPr>
          <w:i/>
          <w:iCs/>
        </w:rPr>
        <w:t>features</w:t>
      </w:r>
      <w:r>
        <w:t xml:space="preserve"> por ventana temporal que alimenta el sistema de estados. </w:t>
      </w:r>
      <w:r>
        <w:rPr>
          <w:b/>
          <w:bCs/>
        </w:rPr>
        <w:t>NB04</w:t>
      </w:r>
      <w:r>
        <w:t xml:space="preserve"> aplica </w:t>
      </w:r>
      <w:r>
        <w:rPr>
          <w:i/>
          <w:iCs/>
        </w:rPr>
        <w:t>K</w:t>
      </w:r>
      <w:r>
        <w:t>-means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14:paraId="660AF3B5" w14:textId="77777777" w:rsidR="005741AE" w:rsidRDefault="00000000">
      <w:pPr>
        <w:spacing w:after="160" w:line="276" w:lineRule="auto"/>
        <w:jc w:val="both"/>
      </w:pPr>
      <w:r>
        <w:t xml:space="preserve">El capítulo anterior (§4.2)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14:paraId="4D34635C" w14:textId="77777777" w:rsidR="005741AE" w:rsidRDefault="00000000">
      <w:pPr>
        <w:spacing w:after="160" w:line="276" w:lineRule="auto"/>
        <w:jc w:val="both"/>
      </w:pPr>
      <w:r>
        <w:t xml:space="preserve">El marco analítico del capítulo, denominado </w:t>
      </w:r>
      <w:r>
        <w:rPr>
          <w:i/>
          <w:iCs/>
        </w:rPr>
        <w:t>PAC States</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14:paraId="6DD49CE2" w14:textId="77777777" w:rsidR="005741AE" w:rsidRDefault="00000000">
      <w:pPr>
        <w:spacing w:after="160" w:line="276" w:lineRule="auto"/>
        <w:jc w:val="both"/>
      </w:pPr>
      <w:r>
        <w:t xml:space="preserve">La clave conceptual que atraviesa todo el capítulo puede formularse en términos de un vocabulario nocturno. El </w:t>
      </w:r>
      <w:r>
        <w:rPr>
          <w:i/>
          <w:iCs/>
        </w:rPr>
        <w:t>K</w:t>
      </w:r>
      <w:r>
        <w:t xml:space="preserve">-means por escala genera un conjunto finito de estados fisiológicos recurrentes: sus etiquetas (S0–S6, M0–M4, L0–L3) funcionan como las </w:t>
      </w:r>
      <w:r>
        <w:rPr>
          <w:b/>
          <w:bCs/>
        </w:rPr>
        <w:t>letras de un alfabeto</w:t>
      </w:r>
      <w: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b/>
          <w:bCs/>
        </w:rPr>
        <w:t>texto que cada noche escribe con ese alfabeto</w:t>
      </w:r>
      <w:r>
        <w:t xml:space="preserve">. Este capítulo construye ese vocabulario de forma escalonada: §5.2–5.4 definen las letras de cada escala; §5.5 las combina en un vector descriptivo de la noche; §5.6 identifica los fenotipos nocturnos (las palabras recurrentes); y §5.7 evalúa qué dimensiones de la </w:t>
      </w:r>
      <w:r>
        <w:lastRenderedPageBreak/>
        <w:t>fisiología nocturna quedan codificadas en ese lenguaje —y cuáles permanecen fuera de él—.</w:t>
      </w:r>
    </w:p>
    <w:p w14:paraId="1093697D" w14:textId="77777777" w:rsidR="005741AE" w:rsidRDefault="00000000">
      <w:pPr>
        <w:pStyle w:val="Ttulo2"/>
      </w:pPr>
      <w:r>
        <w:t>5.1  Fundamentos del análisis multiescala (NB03)</w:t>
      </w:r>
    </w:p>
    <w:p w14:paraId="02429CBB" w14:textId="77777777" w:rsidR="005741AE" w:rsidRDefault="00000000">
      <w:pPr>
        <w:pStyle w:val="Ttulo3"/>
      </w:pPr>
      <w:r>
        <w:t>5.1.1  Validación del ARI como característica nocturna estable</w:t>
      </w:r>
    </w:p>
    <w:p w14:paraId="50836DE0" w14:textId="77777777" w:rsidR="005741AE" w:rsidRDefault="00000000">
      <w:pPr>
        <w:spacing w:after="160" w:line="276" w:lineRule="auto"/>
        <w:jc w:val="both"/>
      </w:pPr>
      <w:r>
        <w:t xml:space="preserve">El ARI fue calculado a nivel de evento individual en Cap04 (§4.3). Antes de incorporarlo como </w:t>
      </w:r>
      <w:r>
        <w:rPr>
          <w:i/>
          <w:iCs/>
        </w:rPr>
        <w:t>feature</w:t>
      </w:r>
      <w: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14:paraId="5D1B1034" w14:textId="77777777" w:rsidR="005741AE" w:rsidRDefault="00000000">
      <w:pPr>
        <w:spacing w:after="160" w:line="276" w:lineRule="auto"/>
        <w:jc w:val="both"/>
      </w:pPr>
      <w:r>
        <w:t xml:space="preserve">La correlación con ODI3 a nivel nocturno (ρ = −0,245) confirma que el ARI nocturno aportaría información parcialmente independiente de la frecuencia de eventos como </w:t>
      </w:r>
      <w:r>
        <w:rPr>
          <w:i/>
          <w:iCs/>
        </w:rPr>
        <w:t>feature</w:t>
      </w:r>
      <w:r>
        <w:t xml:space="preserve"> en el sistema de estados PAC. La dirección negativa es consistente con el gradiente autonómico inverso documentado en Cap04 §4.3.3: los pacientes con mayor carga hipóxica tienden a presentar menor reactividad autonómica media. Consistente también con la débil correlación a nivel de evento (ρ = 0,034 entre ARI y drop_pct; §4.3).</w:t>
      </w:r>
    </w:p>
    <w:p w14:paraId="724985F6" w14:textId="77777777" w:rsidR="005741AE" w:rsidRDefault="00000000">
      <w:pPr>
        <w:spacing w:before="160"/>
        <w:jc w:val="center"/>
      </w:pPr>
      <w:r>
        <w:rPr>
          <w:noProof/>
        </w:rPr>
        <w:drawing>
          <wp:inline distT="0" distB="0" distL="0" distR="0" wp14:anchorId="38F989BC" wp14:editId="5825BE19">
            <wp:extent cx="5334000" cy="1895475"/>
            <wp:effectExtent l="0" t="0" r="0" b="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95475"/>
                    </a:xfrm>
                    <a:prstGeom prst="rect">
                      <a:avLst/>
                    </a:prstGeom>
                  </pic:spPr>
                </pic:pic>
              </a:graphicData>
            </a:graphic>
          </wp:inline>
        </w:drawing>
      </w:r>
    </w:p>
    <w:p w14:paraId="09A51DDD" w14:textId="77777777" w:rsidR="005741AE" w:rsidRDefault="00000000">
      <w:pPr>
        <w:spacing w:before="100" w:after="40"/>
        <w:jc w:val="center"/>
      </w:pPr>
      <w:r>
        <w:rPr>
          <w:b/>
          <w:bCs/>
          <w:sz w:val="20"/>
          <w:szCs w:val="20"/>
        </w:rPr>
        <w:t xml:space="preserve">Figura 5.1. </w:t>
      </w:r>
      <w:r>
        <w:rPr>
          <w:sz w:val="20"/>
          <w:szCs w:val="20"/>
        </w:rPr>
        <w:t>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14:paraId="1E77658E" w14:textId="77777777" w:rsidR="005741AE" w:rsidRDefault="00000000">
      <w:pPr>
        <w:spacing w:after="220"/>
        <w:jc w:val="center"/>
      </w:pPr>
      <w:r>
        <w:rPr>
          <w:i/>
          <w:iCs/>
          <w:sz w:val="20"/>
          <w:szCs w:val="20"/>
        </w:rPr>
        <w:t xml:space="preserve">Nota. </w:t>
      </w:r>
      <w:r>
        <w:rPr>
          <w:sz w:val="20"/>
          <w:szCs w:val="20"/>
        </w:rPr>
        <w:t>Origen: NB03. Solo se muestran noches quality (n = 553). El orden es cronológico por fecha de registro. ICC(1,1) cohorte = 0,69.</w:t>
      </w:r>
    </w:p>
    <w:p w14:paraId="657FA9E3" w14:textId="77777777" w:rsidR="005741AE" w:rsidRDefault="00000000">
      <w:pPr>
        <w:pStyle w:val="Ttulo3"/>
      </w:pPr>
      <w:r>
        <w:t>5.1.2  Construcción del espacio de estados PAC</w:t>
      </w:r>
    </w:p>
    <w:p w14:paraId="6DA5573B" w14:textId="77777777" w:rsidR="005741AE" w:rsidRDefault="00000000">
      <w:pPr>
        <w:spacing w:after="160" w:line="276" w:lineRule="auto"/>
        <w:jc w:val="both"/>
      </w:pPr>
      <w:r>
        <w:t xml:space="preserve">El punto de partida del análisis es la tabla Gold </w:t>
      </w:r>
      <w:r>
        <w:rPr>
          <w:i/>
          <w:iCs/>
        </w:rPr>
        <w:t>states.parquet</w:t>
      </w:r>
      <w:r>
        <w:t>, que contiene aproximadamente 519.000 ventanas temporales generadas por el pipeline PAC_v3 sobre las 560 noches de la cohorte. La Tabla 5.1 sintetiza los subconjuntos utilizados en los distintos análisis del capítulo.</w:t>
      </w:r>
    </w:p>
    <w:p w14:paraId="7B10769B" w14:textId="77777777" w:rsidR="005741AE" w:rsidRDefault="005741AE">
      <w:pPr>
        <w:spacing w:after="80"/>
      </w:pPr>
    </w:p>
    <w:p w14:paraId="41A30208" w14:textId="77777777" w:rsidR="005741AE" w:rsidRDefault="00000000">
      <w:pPr>
        <w:spacing w:before="160" w:after="40"/>
      </w:pPr>
      <w:r>
        <w:rPr>
          <w:b/>
          <w:bCs/>
          <w:sz w:val="20"/>
          <w:szCs w:val="20"/>
        </w:rPr>
        <w:t xml:space="preserve">Tabla 5.1. </w:t>
      </w:r>
      <w:r>
        <w:rPr>
          <w:sz w:val="20"/>
          <w:szCs w:val="20"/>
        </w:rPr>
        <w:t>Subconjuntos de noches utilizados en los análisis de este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118"/>
        <w:gridCol w:w="1335"/>
        <w:gridCol w:w="3142"/>
      </w:tblGrid>
      <w:tr w:rsidR="005741AE" w14:paraId="022E49B9"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591D223" w14:textId="77777777" w:rsidR="005741AE" w:rsidRDefault="00000000">
            <w:pPr>
              <w:jc w:val="center"/>
            </w:pPr>
            <w:r>
              <w:rPr>
                <w:b/>
                <w:bCs/>
                <w:color w:val="FFFFFF"/>
                <w:sz w:val="18"/>
                <w:szCs w:val="18"/>
              </w:rPr>
              <w:lastRenderedPageBreak/>
              <w:t>Subconjunto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6374B66" w14:textId="77777777" w:rsidR="005741AE" w:rsidRDefault="00000000">
            <w:pPr>
              <w:jc w:val="center"/>
            </w:pPr>
            <w:r>
              <w:rPr>
                <w:b/>
                <w:bCs/>
                <w:color w:val="FFFFFF"/>
                <w:sz w:val="18"/>
                <w:szCs w:val="18"/>
              </w:rPr>
              <w:t>n noches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2547B37" w14:textId="77777777" w:rsidR="005741AE" w:rsidRDefault="00000000">
            <w:pPr>
              <w:jc w:val="center"/>
            </w:pPr>
            <w:r>
              <w:rPr>
                <w:b/>
                <w:bCs/>
                <w:color w:val="FFFFFF"/>
                <w:sz w:val="18"/>
                <w:szCs w:val="18"/>
              </w:rPr>
              <w:t>n pacientes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E07F427" w14:textId="77777777" w:rsidR="005741AE" w:rsidRDefault="00000000">
            <w:pPr>
              <w:jc w:val="center"/>
            </w:pPr>
            <w:r>
              <w:rPr>
                <w:b/>
                <w:bCs/>
                <w:color w:val="FFFFFF"/>
                <w:sz w:val="18"/>
                <w:szCs w:val="18"/>
              </w:rPr>
              <w:t>Uso en análisis</w:t>
            </w:r>
          </w:p>
        </w:tc>
      </w:tr>
      <w:tr w:rsidR="005741AE" w14:paraId="3DB52CA2"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CEF19C" w14:textId="77777777" w:rsidR="005741AE" w:rsidRDefault="00000000">
            <w:r>
              <w:rPr>
                <w:sz w:val="18"/>
                <w:szCs w:val="18"/>
              </w:rPr>
              <w:t>Total registradas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217B860"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3092F63"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26BD41D" w14:textId="77777777" w:rsidR="005741AE" w:rsidRDefault="00000000">
            <w:r>
              <w:rPr>
                <w:sz w:val="18"/>
                <w:szCs w:val="18"/>
              </w:rPr>
              <w:t>Base de datos completa</w:t>
            </w:r>
          </w:p>
        </w:tc>
      </w:tr>
      <w:tr w:rsidR="005741AE" w14:paraId="235FD20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A7E235B" w14:textId="77777777" w:rsidR="005741AE" w:rsidRDefault="00000000">
            <w:r>
              <w:rPr>
                <w:sz w:val="18"/>
                <w:szCs w:val="18"/>
              </w:rPr>
              <w:t>Con ≥1 EDO (quality)</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41F5877" w14:textId="77777777" w:rsidR="005741AE" w:rsidRDefault="00000000">
            <w:pPr>
              <w:jc w:val="center"/>
            </w:pPr>
            <w:r>
              <w:rPr>
                <w:sz w:val="18"/>
                <w:szCs w:val="18"/>
              </w:rPr>
              <w:t>553</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91911E"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78F51B" w14:textId="77777777" w:rsidR="005741AE" w:rsidRDefault="00000000">
            <w:r>
              <w:rPr>
                <w:sz w:val="18"/>
                <w:szCs w:val="18"/>
              </w:rPr>
              <w:t>Análisis de eventos y ARI</w:t>
            </w:r>
          </w:p>
        </w:tc>
      </w:tr>
      <w:tr w:rsidR="005741AE" w14:paraId="2F80856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E09C38B" w14:textId="77777777" w:rsidR="005741AE" w:rsidRDefault="00000000">
            <w:r>
              <w:rPr>
                <w:sz w:val="18"/>
                <w:szCs w:val="18"/>
              </w:rPr>
              <w:t>Con estados S, M y L completos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79F7347"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B164515"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0650BC0" w14:textId="77777777" w:rsidR="005741AE" w:rsidRDefault="00000000">
            <w:r>
              <w:rPr>
                <w:sz w:val="18"/>
                <w:szCs w:val="18"/>
              </w:rPr>
              <w:t>PCA multiescala y clustering K=3</w:t>
            </w:r>
          </w:p>
        </w:tc>
      </w:tr>
    </w:tbl>
    <w:p w14:paraId="708B03FA" w14:textId="77777777" w:rsidR="005741AE" w:rsidRDefault="00000000">
      <w:pPr>
        <w:spacing w:after="160"/>
      </w:pPr>
      <w:r>
        <w:rPr>
          <w:i/>
          <w:iCs/>
          <w:sz w:val="20"/>
          <w:szCs w:val="20"/>
        </w:rPr>
        <w:t xml:space="preserve">Nota. </w:t>
      </w:r>
      <w:r>
        <w:rPr>
          <w:sz w:val="20"/>
          <w:szCs w:val="20"/>
        </w:rPr>
        <w:t>Las 560 noches quality cuentan con asignación de estado en las tres escalas S, M y L (el pipeline procesa la totalidad de la cohorte quality para el clustering multiescala).</w:t>
      </w:r>
    </w:p>
    <w:p w14:paraId="2024912C" w14:textId="77777777" w:rsidR="005741AE" w:rsidRDefault="00000000">
      <w:pPr>
        <w:spacing w:after="160" w:line="276" w:lineRule="auto"/>
        <w:jc w:val="both"/>
      </w:pPr>
      <w: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i/>
          <w:iCs/>
        </w:rPr>
        <w:t>ts_start</w:t>
      </w:r>
      <w:r>
        <w:t xml:space="preserve"> cae dentro de la ventana) y composición de estadios de sueño (</w:t>
      </w:r>
      <w:r>
        <w:rPr>
          <w:i/>
          <w:iCs/>
        </w:rPr>
        <w:t>frac_wake</w:t>
      </w:r>
      <w:r>
        <w:t xml:space="preserve">, </w:t>
      </w:r>
      <w:r>
        <w:rPr>
          <w:i/>
          <w:iCs/>
        </w:rPr>
        <w:t>frac_light_sleep</w:t>
      </w:r>
      <w:r>
        <w:t xml:space="preserve">, </w:t>
      </w:r>
      <w:r>
        <w:rPr>
          <w:i/>
          <w:iCs/>
        </w:rPr>
        <w:t>frac_deep_sleep</w:t>
      </w:r>
      <w:r>
        <w:t>). Estas tres fracciones provienen del algoritmo de estadificación interno del dispositivo SOMNI 6000, que estima el estadio a partir de FC y movimiento —sin referencia polisomnográfica—. La validación del pipeline sobre las 560 noches (</w:t>
      </w:r>
      <w:r>
        <w:rPr>
          <w:i/>
          <w:iCs/>
        </w:rPr>
        <w:t>sleep_staging_validation</w:t>
      </w:r>
      <w: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i/>
          <w:iCs/>
        </w:rPr>
        <w:t>wake</w:t>
      </w:r>
      <w:r>
        <w:t xml:space="preserve"> (raw = 0), </w:t>
      </w:r>
      <w:r>
        <w:rPr>
          <w:i/>
          <w:iCs/>
        </w:rPr>
        <w:t>light_sleep</w:t>
      </w:r>
      <w:r>
        <w:t xml:space="preserve"> (raw = 1–2) y </w:t>
      </w:r>
      <w:r>
        <w:rPr>
          <w:i/>
          <w:iCs/>
        </w:rPr>
        <w:t>deep_sleep</w:t>
      </w:r>
      <w:r>
        <w:t xml:space="preserve"> (raw = 3). El término </w:t>
      </w:r>
      <w:r>
        <w:rPr>
          <w:i/>
          <w:iCs/>
        </w:rPr>
        <w:t>deep_sleep</w:t>
      </w:r>
      <w:r>
        <w:t xml:space="preserve"> es una convención operativa del pipeline y no equivale al estadio N3 clínico ni implica validación polisomnográfica. El sistema PAC States aplica </w:t>
      </w:r>
      <w:r>
        <w:rPr>
          <w:i/>
          <w:iCs/>
        </w:rPr>
        <w:t>K</w:t>
      </w:r>
      <w:r>
        <w:t>-means de forma independiente por escala —cada resolución temporal tiene su propio modelo entrenado sobre la cohorte estricta (8 pacientes, ≥10 noches)— generando vocabularios de estados no compartidos entre escalas (Tabla 5.2).</w:t>
      </w:r>
    </w:p>
    <w:p w14:paraId="35E2087F" w14:textId="77777777" w:rsidR="005741AE" w:rsidRDefault="005741AE">
      <w:pPr>
        <w:spacing w:after="80"/>
      </w:pPr>
    </w:p>
    <w:p w14:paraId="3B6CBCDD" w14:textId="77777777" w:rsidR="005741AE" w:rsidRDefault="00000000">
      <w:pPr>
        <w:spacing w:before="160" w:after="40"/>
      </w:pPr>
      <w:r>
        <w:rPr>
          <w:b/>
          <w:bCs/>
          <w:sz w:val="20"/>
          <w:szCs w:val="20"/>
        </w:rPr>
        <w:t xml:space="preserve">Tabla 5.2.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670"/>
        <w:gridCol w:w="510"/>
        <w:gridCol w:w="1160"/>
        <w:gridCol w:w="1863"/>
        <w:gridCol w:w="1435"/>
      </w:tblGrid>
      <w:tr w:rsidR="005741AE" w14:paraId="59D562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964420"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0C0514D" w14:textId="77777777" w:rsidR="005741AE"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CFBA9FF" w14:textId="77777777" w:rsidR="005741AE"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B5903B" w14:textId="77777777" w:rsidR="005741AE"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96AD85E" w14:textId="77777777" w:rsidR="005741AE"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2FB32B6" w14:textId="77777777" w:rsidR="005741AE" w:rsidRDefault="00000000">
            <w:pPr>
              <w:jc w:val="center"/>
            </w:pPr>
            <w:r>
              <w:rPr>
                <w:b/>
                <w:bCs/>
                <w:color w:val="FFFFFF"/>
                <w:sz w:val="18"/>
                <w:szCs w:val="18"/>
              </w:rPr>
              <w:t>V Cramér</w:t>
            </w:r>
          </w:p>
        </w:tc>
      </w:tr>
      <w:tr w:rsidR="005741AE" w14:paraId="6DD7684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31E341" w14:textId="77777777" w:rsidR="005741AE"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6E82B61" w14:textId="77777777" w:rsidR="005741AE"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3D4D7E4" w14:textId="77777777" w:rsidR="005741AE" w:rsidRDefault="00000000">
            <w:pPr>
              <w:jc w:val="center"/>
            </w:pPr>
            <w:r>
              <w:rPr>
                <w:sz w:val="18"/>
                <w:szCs w:val="18"/>
              </w:rPr>
              <w:t>7</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76B33BF" w14:textId="77777777" w:rsidR="005741AE" w:rsidRDefault="00000000">
            <w:pPr>
              <w:jc w:val="center"/>
            </w:pPr>
            <w:r>
              <w:rPr>
                <w:sz w:val="18"/>
                <w:szCs w:val="18"/>
              </w:rPr>
              <w:t>S0–S6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6AD122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9D83D6" w14:textId="77777777" w:rsidR="005741AE" w:rsidRDefault="00000000">
            <w:pPr>
              <w:jc w:val="center"/>
            </w:pPr>
            <w:r>
              <w:rPr>
                <w:sz w:val="18"/>
                <w:szCs w:val="18"/>
              </w:rPr>
              <w:t>0,356</w:t>
            </w:r>
          </w:p>
        </w:tc>
      </w:tr>
      <w:tr w:rsidR="005741AE" w14:paraId="69F5C0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BC86D31" w14:textId="77777777" w:rsidR="005741AE"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311E550" w14:textId="77777777" w:rsidR="005741AE"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0971948" w14:textId="77777777" w:rsidR="005741AE" w:rsidRDefault="00000000">
            <w:pPr>
              <w:jc w:val="center"/>
            </w:pPr>
            <w:r>
              <w:rPr>
                <w:sz w:val="18"/>
                <w:szCs w:val="18"/>
              </w:rPr>
              <w:t>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FB1DC95" w14:textId="77777777" w:rsidR="005741AE" w:rsidRDefault="00000000">
            <w:pPr>
              <w:jc w:val="center"/>
            </w:pPr>
            <w:r>
              <w:rPr>
                <w:sz w:val="18"/>
                <w:szCs w:val="18"/>
              </w:rPr>
              <w:t>M0–M4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56842E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BDA8A3A" w14:textId="77777777" w:rsidR="005741AE" w:rsidRDefault="00000000">
            <w:pPr>
              <w:jc w:val="center"/>
            </w:pPr>
            <w:r>
              <w:rPr>
                <w:sz w:val="18"/>
                <w:szCs w:val="18"/>
              </w:rPr>
              <w:t>0,231</w:t>
            </w:r>
          </w:p>
        </w:tc>
      </w:tr>
      <w:tr w:rsidR="005741AE" w14:paraId="542D4425"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3F0F60C" w14:textId="77777777" w:rsidR="005741AE"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E1BF1D8" w14:textId="77777777" w:rsidR="005741AE"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119A9E3" w14:textId="77777777" w:rsidR="005741AE" w:rsidRDefault="00000000">
            <w:pPr>
              <w:jc w:val="center"/>
            </w:pPr>
            <w:r>
              <w:rPr>
                <w:sz w:val="18"/>
                <w:szCs w:val="18"/>
              </w:rPr>
              <w:t>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9728B4" w14:textId="77777777" w:rsidR="005741AE" w:rsidRDefault="00000000">
            <w:pPr>
              <w:jc w:val="center"/>
            </w:pPr>
            <w:r>
              <w:rPr>
                <w:sz w:val="18"/>
                <w:szCs w:val="18"/>
              </w:rPr>
              <w:t>L0–L3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0166EC"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AD623EF" w14:textId="77777777" w:rsidR="005741AE" w:rsidRDefault="00000000">
            <w:pPr>
              <w:jc w:val="center"/>
            </w:pPr>
            <w:r>
              <w:rPr>
                <w:sz w:val="18"/>
                <w:szCs w:val="18"/>
              </w:rPr>
              <w:t>0,196</w:t>
            </w:r>
          </w:p>
        </w:tc>
      </w:tr>
    </w:tbl>
    <w:p w14:paraId="679C1260" w14:textId="77777777" w:rsidR="005741AE" w:rsidRDefault="00000000">
      <w:pPr>
        <w:spacing w:after="160"/>
      </w:pPr>
      <w:r>
        <w:rPr>
          <w:i/>
          <w:iCs/>
          <w:sz w:val="20"/>
          <w:szCs w:val="20"/>
        </w:rPr>
        <w:t xml:space="preserve">Nota. </w:t>
      </w:r>
      <w:r>
        <w:rPr>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14:paraId="6979E0B6" w14:textId="77777777" w:rsidR="005741AE" w:rsidRDefault="00000000">
      <w:pPr>
        <w:spacing w:after="160" w:line="276" w:lineRule="auto"/>
        <w:jc w:val="both"/>
      </w:pPr>
      <w: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w:t>
      </w:r>
      <w:r>
        <w:lastRenderedPageBreak/>
        <w:t>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14:paraId="03AE9F48" w14:textId="77777777" w:rsidR="005741AE" w:rsidRDefault="00000000">
      <w:pPr>
        <w:pStyle w:val="Ttulo2"/>
      </w:pPr>
      <w:r>
        <w:t>5.2  PAC States escala S — microdinámica nocturna (NB04)</w:t>
      </w:r>
    </w:p>
    <w:p w14:paraId="5D21359E" w14:textId="77777777" w:rsidR="005741AE" w:rsidRDefault="00000000">
      <w:pPr>
        <w:spacing w:after="160" w:line="276" w:lineRule="auto"/>
        <w:jc w:val="both"/>
      </w:pPr>
      <w:r>
        <w:t>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14:paraId="5E12CB88" w14:textId="77777777" w:rsidR="005741AE" w:rsidRDefault="00000000">
      <w:pPr>
        <w:spacing w:after="160" w:line="276" w:lineRule="auto"/>
        <w:jc w:val="both"/>
      </w:pPr>
      <w:r>
        <w:t>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14:paraId="12171825" w14:textId="77777777" w:rsidR="005741AE" w:rsidRDefault="00000000">
      <w:pPr>
        <w:spacing w:after="160" w:line="276" w:lineRule="auto"/>
        <w:jc w:val="both"/>
      </w:pPr>
      <w:r>
        <w:rPr>
          <w:b/>
          <w:bCs/>
        </w:rPr>
        <w:t xml:space="preserve">S4 — Estado compatible con alta densidad de eventos respiratorios. </w:t>
      </w:r>
      <w:r>
        <w:t>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14:paraId="1B0600F6" w14:textId="77777777" w:rsidR="005741AE" w:rsidRDefault="00000000">
      <w:pPr>
        <w:spacing w:after="160" w:line="276" w:lineRule="auto"/>
        <w:jc w:val="both"/>
      </w:pPr>
      <w:r>
        <w:rPr>
          <w:b/>
          <w:bCs/>
        </w:rPr>
        <w:t xml:space="preserve">S5 — Estado compatible con reactividad autonómica máxima. </w:t>
      </w:r>
      <w:r>
        <w:t>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14:paraId="505F95B6" w14:textId="77777777" w:rsidR="005741AE" w:rsidRDefault="00000000">
      <w:pPr>
        <w:spacing w:after="160" w:line="276" w:lineRule="auto"/>
        <w:jc w:val="both"/>
      </w:pPr>
      <w:r>
        <w:rPr>
          <w:b/>
          <w:bCs/>
        </w:rPr>
        <w:t xml:space="preserve">S3 — Estado compatible con supresión autonómica relativa. </w:t>
      </w:r>
      <w:r>
        <w:t>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14:paraId="7DFF57BB" w14:textId="77777777" w:rsidR="005741AE" w:rsidRDefault="00000000">
      <w:pPr>
        <w:spacing w:after="160" w:line="276" w:lineRule="auto"/>
        <w:jc w:val="both"/>
      </w:pPr>
      <w:r>
        <w:rPr>
          <w:b/>
          <w:bCs/>
        </w:rPr>
        <w:t xml:space="preserve">S2 — Estado compatible con vigilia parcial y carga respiratoria moderada. </w:t>
      </w:r>
      <w:r>
        <w:t xml:space="preserve">El segundo estado más frecuente de la escala S (~29 % del tiempo total), S2 se caracteriza por la mayor fracción de vigilia de los estados no-S6 (frac_wake = 0,287), con composición </w:t>
      </w:r>
      <w:r>
        <w:lastRenderedPageBreak/>
        <w:t>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14:paraId="47D5A15C" w14:textId="77777777" w:rsidR="005741AE" w:rsidRDefault="00000000">
      <w:pPr>
        <w:spacing w:after="160" w:line="276" w:lineRule="auto"/>
        <w:jc w:val="both"/>
      </w:pPr>
      <w:r>
        <w:rPr>
          <w:b/>
          <w:bCs/>
        </w:rPr>
        <w:t xml:space="preserve">S0 — Estado compatible con baja actividad respiratoria. </w:t>
      </w:r>
      <w:r>
        <w:t xml:space="preserve">Presenta la mayor fracción de </w:t>
      </w:r>
      <w:r>
        <w:rPr>
          <w:i/>
          <w:iCs/>
        </w:rPr>
        <w:t>deep_sleep</w:t>
      </w:r>
      <w: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i/>
          <w:iCs/>
        </w:rPr>
        <w:t>light_sleep</w:t>
      </w:r>
      <w:r>
        <w:t xml:space="preserve"> (frac_light = 0,868) con perfil de correlaciones similar a S0 pero de menor magnitud.</w:t>
      </w:r>
    </w:p>
    <w:p w14:paraId="699C2CFF" w14:textId="77777777" w:rsidR="005741AE" w:rsidRDefault="00000000">
      <w:pPr>
        <w:spacing w:after="160" w:line="276" w:lineRule="auto"/>
        <w:jc w:val="both"/>
      </w:pPr>
      <w:r>
        <w:rPr>
          <w:b/>
          <w:bCs/>
        </w:rPr>
        <w:t xml:space="preserve">S6 — Estado compatible con disrupción hipóxica concentrada. </w:t>
      </w:r>
      <w:r>
        <w:t xml:space="preserve">Aunque es el estado más raro (~1 % de las ventanas), S6 concentra la mayor proporción de morfotipos severos (28,1 % de C4+C5) y la caída mediana de SpO₂ más profunda de toda la escala S (10,53 pp). Por su baja frecuencia, S6 no ingresa en la </w:t>
      </w:r>
      <w:r>
        <w:rPr>
          <w:i/>
          <w:iCs/>
        </w:rPr>
        <w:t>feature matrix</w:t>
      </w:r>
      <w: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14:paraId="27772607" w14:textId="77777777" w:rsidR="005741AE" w:rsidRDefault="00000000">
      <w:pPr>
        <w:spacing w:before="160"/>
        <w:jc w:val="center"/>
      </w:pPr>
      <w:r>
        <w:rPr>
          <w:noProof/>
        </w:rPr>
        <w:drawing>
          <wp:inline distT="0" distB="0" distL="0" distR="0" wp14:anchorId="3AFAA5E4" wp14:editId="3CBAE961">
            <wp:extent cx="5448300" cy="3000375"/>
            <wp:effectExtent l="0" t="0" r="0" b="0"/>
            <wp:docPr id="10834666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48300" cy="3000375"/>
                    </a:xfrm>
                    <a:prstGeom prst="rect">
                      <a:avLst/>
                    </a:prstGeom>
                  </pic:spPr>
                </pic:pic>
              </a:graphicData>
            </a:graphic>
          </wp:inline>
        </w:drawing>
      </w:r>
    </w:p>
    <w:p w14:paraId="20FAA9E5" w14:textId="77777777" w:rsidR="005741AE" w:rsidRDefault="00000000">
      <w:pPr>
        <w:spacing w:before="100" w:after="40"/>
        <w:jc w:val="center"/>
      </w:pPr>
      <w:r>
        <w:rPr>
          <w:b/>
          <w:bCs/>
          <w:sz w:val="20"/>
          <w:szCs w:val="20"/>
        </w:rPr>
        <w:t xml:space="preserve">Figura 5.2. </w:t>
      </w:r>
      <w:r>
        <w:rPr>
          <w:sz w:val="20"/>
          <w:szCs w:val="20"/>
        </w:rPr>
        <w:t>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14:paraId="4B547761" w14:textId="77777777" w:rsidR="005741AE" w:rsidRDefault="00000000">
      <w:pPr>
        <w:spacing w:after="220"/>
        <w:jc w:val="center"/>
      </w:pPr>
      <w:r>
        <w:rPr>
          <w:i/>
          <w:iCs/>
          <w:sz w:val="20"/>
          <w:szCs w:val="20"/>
        </w:rPr>
        <w:t xml:space="preserve">Nota. </w:t>
      </w:r>
      <w:r>
        <w:rPr>
          <w:sz w:val="20"/>
          <w:szCs w:val="20"/>
        </w:rPr>
        <w:t>Origen: NB04. Eje x: estado de escala S (S0–S6). Las barras muestran medianas; las líneas de error, el IQR. Los estados se ordenan por frecuencia decreciente (S1 ≈ 31 %, S2 ≈ 29 %, S0 ≈ 21 %, S3 ≈ 10 %, S4 ≈ 6 %, S5 ≈ 2 %, S6 ≈ 1 %).</w:t>
      </w:r>
    </w:p>
    <w:p w14:paraId="02749F21" w14:textId="77777777" w:rsidR="005741AE" w:rsidRDefault="00000000">
      <w:pPr>
        <w:pStyle w:val="Ttulo2"/>
      </w:pPr>
      <w:r>
        <w:t>5.3  PAC States escala M — regulación intermedia (NB04)</w:t>
      </w:r>
    </w:p>
    <w:p w14:paraId="4F097520" w14:textId="77777777" w:rsidR="005741AE" w:rsidRDefault="00000000">
      <w:pPr>
        <w:spacing w:after="160" w:line="276" w:lineRule="auto"/>
        <w:jc w:val="both"/>
      </w:pPr>
      <w:r>
        <w:lastRenderedPageBreak/>
        <w:t>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14:paraId="38DF390D" w14:textId="77777777" w:rsidR="005741AE" w:rsidRDefault="00000000">
      <w:pPr>
        <w:spacing w:after="160" w:line="276" w:lineRule="auto"/>
        <w:jc w:val="both"/>
      </w:pPr>
      <w:r>
        <w:t>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14:paraId="669C6BD5" w14:textId="77777777" w:rsidR="005741AE" w:rsidRDefault="00000000">
      <w:pPr>
        <w:spacing w:after="160" w:line="276" w:lineRule="auto"/>
        <w:jc w:val="both"/>
      </w:pPr>
      <w:r>
        <w:rPr>
          <w:b/>
          <w:bCs/>
        </w:rPr>
        <w:t xml:space="preserve">M0 y M2 — Estados protectores. </w:t>
      </w:r>
      <w:r>
        <w:t xml:space="preserve">M0 (~27 % del tiempo) y M2 (~19 %) presentan las correlaciones negativas más intensas con AHI3 (M0: ρ = −0,622; M2: ρ = −0,602) y ODI3 (M0: ρ = −0,630; M2: ρ = −0,618). M0 se caracteriza por alta fracción de </w:t>
      </w:r>
      <w:r>
        <w:rPr>
          <w:i/>
          <w:iCs/>
        </w:rPr>
        <w:t>light_sleep</w:t>
      </w:r>
      <w:r>
        <w:t xml:space="preserve"> (frac_light = 0,818), compatible con transiciones de sueño con baja actividad patológica. M2, en contraste, presenta la mayor fracción de </w:t>
      </w:r>
      <w:r>
        <w:rPr>
          <w:i/>
          <w:iCs/>
        </w:rPr>
        <w:t>deep_sleep</w:t>
      </w:r>
      <w: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14:paraId="19E1A87E" w14:textId="77777777" w:rsidR="005741AE" w:rsidRDefault="00000000">
      <w:pPr>
        <w:spacing w:after="160" w:line="276" w:lineRule="auto"/>
        <w:jc w:val="both"/>
      </w:pPr>
      <w:r>
        <w:rPr>
          <w:b/>
          <w:bCs/>
        </w:rPr>
        <w:t xml:space="preserve">M1 — Estado compatible con carga hipóxica acumulada. </w:t>
      </w:r>
      <w:r>
        <w:t>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14:paraId="0109A2A6" w14:textId="77777777" w:rsidR="005741AE" w:rsidRDefault="00000000">
      <w:pPr>
        <w:spacing w:after="160" w:line="276" w:lineRule="auto"/>
        <w:jc w:val="both"/>
      </w:pPr>
      <w:r>
        <w:rPr>
          <w:b/>
          <w:bCs/>
        </w:rPr>
        <w:t xml:space="preserve">M3 — Estado compatible con supresión autonómica. </w:t>
      </w:r>
      <w:r>
        <w:t>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14:paraId="69B1689C" w14:textId="77777777" w:rsidR="005741AE" w:rsidRDefault="00000000">
      <w:pPr>
        <w:spacing w:after="160" w:line="276" w:lineRule="auto"/>
        <w:jc w:val="both"/>
      </w:pPr>
      <w:r>
        <w:rPr>
          <w:b/>
          <w:bCs/>
        </w:rPr>
        <w:t xml:space="preserve">M4 — Estado de carga moderada. </w:t>
      </w:r>
      <w:r>
        <w:t>M4 (Sueño Estable Mixto, ~27 %) presenta correlaciones positivas moderadas con AHI3 (ρ = +0,347) y T90 (ρ = +0,212), con perfil compatible con sueño con desaturaciones de severidad intermedia. No presenta correlación relevante con el ARI (ρ = −0,003).</w:t>
      </w:r>
    </w:p>
    <w:p w14:paraId="56070C40" w14:textId="77777777" w:rsidR="005741AE" w:rsidRDefault="00000000">
      <w:pPr>
        <w:spacing w:before="160"/>
        <w:jc w:val="center"/>
      </w:pPr>
      <w:r>
        <w:rPr>
          <w:noProof/>
        </w:rPr>
        <w:lastRenderedPageBreak/>
        <w:drawing>
          <wp:inline distT="0" distB="0" distL="0" distR="0" wp14:anchorId="69980800" wp14:editId="0877D912">
            <wp:extent cx="5448300" cy="3000375"/>
            <wp:effectExtent l="0" t="0" r="0" b="0"/>
            <wp:docPr id="62207498"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8300" cy="3000375"/>
                    </a:xfrm>
                    <a:prstGeom prst="rect">
                      <a:avLst/>
                    </a:prstGeom>
                  </pic:spPr>
                </pic:pic>
              </a:graphicData>
            </a:graphic>
          </wp:inline>
        </w:drawing>
      </w:r>
    </w:p>
    <w:p w14:paraId="676DE7E9" w14:textId="77777777" w:rsidR="005741AE" w:rsidRDefault="00000000">
      <w:pPr>
        <w:spacing w:before="100" w:after="40"/>
        <w:jc w:val="center"/>
      </w:pPr>
      <w:r>
        <w:rPr>
          <w:b/>
          <w:bCs/>
          <w:sz w:val="20"/>
          <w:szCs w:val="20"/>
        </w:rPr>
        <w:t xml:space="preserve">Figura 5.3. </w:t>
      </w:r>
      <w:r>
        <w:rPr>
          <w:sz w:val="20"/>
          <w:szCs w:val="20"/>
        </w:rPr>
        <w:t>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14:paraId="7E66CEBA" w14:textId="77777777" w:rsidR="005741AE" w:rsidRDefault="00000000">
      <w:pPr>
        <w:spacing w:after="220"/>
        <w:jc w:val="center"/>
      </w:pPr>
      <w:r>
        <w:rPr>
          <w:i/>
          <w:iCs/>
          <w:sz w:val="20"/>
          <w:szCs w:val="20"/>
        </w:rPr>
        <w:t xml:space="preserve">Nota. </w:t>
      </w:r>
      <w:r>
        <w:rPr>
          <w:sz w:val="20"/>
          <w:szCs w:val="20"/>
        </w:rPr>
        <w:t>Origen: NB04. Eje x: estado de escala M (M0–M4). Barras: mediana; líneas: IQR.</w:t>
      </w:r>
    </w:p>
    <w:p w14:paraId="4915A3CA" w14:textId="77777777" w:rsidR="005741AE" w:rsidRDefault="00000000">
      <w:pPr>
        <w:pStyle w:val="Ttulo3"/>
      </w:pPr>
      <w:r>
        <w:t>5.3.1  Arquetipos de noche en escala M (K = 3)</w:t>
      </w:r>
    </w:p>
    <w:p w14:paraId="5E395DB7" w14:textId="77777777" w:rsidR="005741AE" w:rsidRDefault="00000000">
      <w:pPr>
        <w:spacing w:after="160" w:line="276" w:lineRule="auto"/>
        <w:jc w:val="both"/>
      </w:pPr>
      <w:r>
        <w:t xml:space="preserve">Aplicando </w:t>
      </w:r>
      <w:r>
        <w:rPr>
          <w:i/>
          <w:iCs/>
        </w:rPr>
        <w:t>K</w:t>
      </w:r>
      <w:r>
        <w:t xml:space="preserve">-means (K = 3) exclusivamente sobre las </w:t>
      </w:r>
      <w:r>
        <w:rPr>
          <w:i/>
          <w:iCs/>
        </w:rPr>
        <w:t>features</w:t>
      </w:r>
      <w:r>
        <w:t xml:space="preserve"> de escala M (fracciones M0–M4, entropía y transiciones) —a diferencia del análisis multiescala completo de §5.6.1, que integra las tres escalas— se identificarían tres arquetipos de noche interpretables en su composición de estados M:</w:t>
      </w:r>
    </w:p>
    <w:p w14:paraId="59CD0D72" w14:textId="77777777" w:rsidR="005741AE" w:rsidRDefault="00000000">
      <w:pPr>
        <w:spacing w:after="160" w:line="276" w:lineRule="auto"/>
        <w:jc w:val="both"/>
      </w:pPr>
      <w:r>
        <w:rPr>
          <w:b/>
          <w:bCs/>
        </w:rPr>
        <w:t xml:space="preserve">Trayectoria A — Perfil protector (~50 % de las noches): </w:t>
      </w:r>
      <w:r>
        <w:t>dominancia de M0 y M2, baja fracción de M1. Compatible con noches con pocas desaturaciones o con recuperación autonómica activa.</w:t>
      </w:r>
    </w:p>
    <w:p w14:paraId="2A89B1B2" w14:textId="77777777" w:rsidR="005741AE" w:rsidRDefault="00000000">
      <w:pPr>
        <w:spacing w:after="160" w:line="276" w:lineRule="auto"/>
        <w:jc w:val="both"/>
      </w:pPr>
      <w:r>
        <w:rPr>
          <w:b/>
          <w:bCs/>
        </w:rPr>
        <w:t xml:space="preserve">Trayectoria B — Perfil de carga intermedia (~35 % de las noches): </w:t>
      </w:r>
      <w:r>
        <w:t>alternancia entre M4 y M3, fracción moderada de M1. Compatible con noches con carga hipóxica significativa pero con períodos de sueño profundo intercalados.</w:t>
      </w:r>
    </w:p>
    <w:p w14:paraId="7F72C6FD" w14:textId="77777777" w:rsidR="005741AE" w:rsidRDefault="00000000">
      <w:pPr>
        <w:spacing w:after="160" w:line="276" w:lineRule="auto"/>
        <w:jc w:val="both"/>
      </w:pPr>
      <w:r>
        <w:rPr>
          <w:b/>
          <w:bCs/>
        </w:rPr>
        <w:t xml:space="preserve">Trayectoria C — Perfil de carga hipóxica elevada (~15 % de las noches): </w:t>
      </w:r>
      <w:r>
        <w:t>alta fracción de M1, baja fracción de M0 y M2. Compatible con noches con hipoxemia acumulada persistente y escasa recuperación.</w:t>
      </w:r>
    </w:p>
    <w:p w14:paraId="7148C321" w14:textId="77777777" w:rsidR="005741AE" w:rsidRDefault="00000000">
      <w:pPr>
        <w:pStyle w:val="Ttulo2"/>
      </w:pPr>
      <w:r>
        <w:t>5.4  PAC States escala L — arquitectura global (NB04)</w:t>
      </w:r>
    </w:p>
    <w:p w14:paraId="0F72C67F" w14:textId="77777777" w:rsidR="005741AE" w:rsidRDefault="00000000">
      <w:pPr>
        <w:spacing w:after="160" w:line="276" w:lineRule="auto"/>
        <w:jc w:val="both"/>
      </w:pPr>
      <w:r>
        <w:t>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14:paraId="4135B334" w14:textId="77777777" w:rsidR="005741AE" w:rsidRDefault="00000000">
      <w:pPr>
        <w:spacing w:after="160" w:line="276" w:lineRule="auto"/>
        <w:jc w:val="both"/>
      </w:pPr>
      <w:r>
        <w:lastRenderedPageBreak/>
        <w:t>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en minutos (ct90_min; ρ = +0,705 y ρ = −0,524, respectivamente).</w:t>
      </w:r>
    </w:p>
    <w:p w14:paraId="4428AD27" w14:textId="77777777" w:rsidR="005741AE" w:rsidRDefault="00000000">
      <w:pPr>
        <w:spacing w:after="160" w:line="276" w:lineRule="auto"/>
        <w:jc w:val="both"/>
      </w:pPr>
      <w:r>
        <w:rPr>
          <w:b/>
          <w:bCs/>
        </w:rPr>
        <w:t xml:space="preserve">L0 — Arquitectura compatible con hipoxemia sostenida. </w:t>
      </w:r>
      <w:r>
        <w:t>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14:paraId="67879425" w14:textId="77777777" w:rsidR="005741AE" w:rsidRDefault="00000000">
      <w:pPr>
        <w:spacing w:after="160" w:line="276" w:lineRule="auto"/>
        <w:jc w:val="both"/>
      </w:pPr>
      <w:r>
        <w:rPr>
          <w:b/>
          <w:bCs/>
        </w:rPr>
        <w:t xml:space="preserve">L3 — Arquitectura compatible con baja carga respiratoria. </w:t>
      </w:r>
      <w:r>
        <w:t>L3 (~30 % del tiempo) presenta las correlaciones negativas más intensas con AHI3 (ρ = −0,668), ODI3 (ρ = −0,676) y T90 en minutos (ct90_min;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14:paraId="574B4D9F" w14:textId="77777777" w:rsidR="005741AE" w:rsidRDefault="00000000">
      <w:pPr>
        <w:spacing w:after="160" w:line="276" w:lineRule="auto"/>
        <w:jc w:val="both"/>
      </w:pPr>
      <w:r>
        <w:rPr>
          <w:b/>
          <w:bCs/>
        </w:rPr>
        <w:t xml:space="preserve">L1 y L2 — Estados intermedios. </w:t>
      </w:r>
      <w:r>
        <w:t>L2 (~34 %, el más frecuente) presenta correlaciones positivas moderadas con AHI3 (ρ = +0,384) y ODI3 (ρ = +0,393). L1 (~23 %) presenta correlaciones negativas de menor magnitud que L3 (AHI3 ρ = −0,290). Ambos estados representarían períodos de arquitectura mixta entre los polos L0 y L3.</w:t>
      </w:r>
    </w:p>
    <w:p w14:paraId="7EEDA21A" w14:textId="77777777" w:rsidR="005741AE" w:rsidRDefault="00000000">
      <w:pPr>
        <w:spacing w:after="160" w:line="276" w:lineRule="auto"/>
        <w:jc w:val="both"/>
      </w:pPr>
      <w:r>
        <w:t>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14:paraId="7D70BB60" w14:textId="77777777" w:rsidR="005741AE" w:rsidRDefault="00000000">
      <w:pPr>
        <w:pStyle w:val="Ttulo2"/>
      </w:pPr>
      <w:r>
        <w:t>5.5  Features nocturnas multiescala derivadas (NB04)</w:t>
      </w:r>
    </w:p>
    <w:p w14:paraId="68D13C59" w14:textId="77777777" w:rsidR="005741AE" w:rsidRDefault="00000000">
      <w:pPr>
        <w:spacing w:after="160" w:line="276" w:lineRule="auto"/>
        <w:jc w:val="both"/>
      </w:pPr>
      <w:r>
        <w:t xml:space="preserve">Para cada noche, el sistema PAC States produce un vector de </w:t>
      </w:r>
      <w:r>
        <w:rPr>
          <w:i/>
          <w:iCs/>
        </w:rPr>
        <w:t>features</w:t>
      </w:r>
      <w:r>
        <w:t xml:space="preserve"> dinámicas almacenadas en </w:t>
      </w:r>
      <w:r>
        <w:rPr>
          <w:i/>
          <w:iCs/>
        </w:rPr>
        <w:t>gold/night_multiscale_features.parquet</w:t>
      </w:r>
      <w:r>
        <w:t>, que constituye el insumo principal para los modelos predictivos del Capítulo 6:</w:t>
      </w:r>
    </w:p>
    <w:p w14:paraId="3E050084" w14:textId="77777777" w:rsidR="005741AE" w:rsidRDefault="00000000">
      <w:pPr>
        <w:spacing w:after="160" w:line="276" w:lineRule="auto"/>
        <w:jc w:val="both"/>
      </w:pPr>
      <w:r>
        <w:rPr>
          <w:b/>
          <w:bCs/>
        </w:rPr>
        <w:t xml:space="preserve">Fracciones de estado (15 variables): </w:t>
      </w:r>
      <w:r>
        <w:t>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14:paraId="60F1AE27" w14:textId="77777777" w:rsidR="005741AE"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Las noches con alta carga hipóxica tienden a mostrar menor entropía de escala M, dominadas por M1.</w:t>
      </w:r>
    </w:p>
    <w:p w14:paraId="32B30515" w14:textId="77777777" w:rsidR="005741AE" w:rsidRDefault="00000000">
      <w:pPr>
        <w:spacing w:after="160" w:line="276" w:lineRule="auto"/>
        <w:jc w:val="both"/>
      </w:pPr>
      <w:r>
        <w:rPr>
          <w:b/>
          <w:bCs/>
        </w:rPr>
        <w:lastRenderedPageBreak/>
        <w:t xml:space="preserve">Número de transiciones (3 variables): </w:t>
      </w:r>
      <w:r>
        <w:t>número total de cambios de estado en la noche por escala (n_trans_s, n_trans_m, n_trans_l). Captura la fragmentación dinámica de la noche independientemente de la distribución de estados.</w:t>
      </w:r>
    </w:p>
    <w:p w14:paraId="18D6B439" w14:textId="77777777" w:rsidR="005741AE" w:rsidRDefault="00000000">
      <w:pPr>
        <w:spacing w:after="160" w:line="276" w:lineRule="auto"/>
        <w:jc w:val="both"/>
      </w:pPr>
      <w:r>
        <w:t xml:space="preserve">Un PCA sobre esta matriz (560 noches quality con estados en las tres escalas) explica el 36,7 % de la varianza en PC1 —con </w:t>
      </w:r>
      <w:r>
        <w:rPr>
          <w:i/>
          <w:iCs/>
        </w:rPr>
        <w:t>loadings</w:t>
      </w:r>
      <w: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14:paraId="7FCCAE05" w14:textId="77777777" w:rsidR="005741AE" w:rsidRDefault="00000000">
      <w:pPr>
        <w:pStyle w:val="Ttulo2"/>
      </w:pPr>
      <w:r>
        <w:t>5.6  Especialización funcional por escala — hallazgo central (NB04)</w:t>
      </w:r>
    </w:p>
    <w:p w14:paraId="6A3CE24F" w14:textId="77777777" w:rsidR="005741AE" w:rsidRDefault="00000000">
      <w:pPr>
        <w:spacing w:after="160" w:line="276" w:lineRule="auto"/>
        <w:jc w:val="both"/>
      </w:pPr>
      <w:r>
        <w:t>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14:paraId="3CC2F180" w14:textId="77777777" w:rsidR="005741AE" w:rsidRDefault="005741AE">
      <w:pPr>
        <w:spacing w:after="80"/>
      </w:pPr>
    </w:p>
    <w:p w14:paraId="1DB79E8F" w14:textId="77777777" w:rsidR="005741AE" w:rsidRDefault="00000000">
      <w:pPr>
        <w:spacing w:before="160" w:after="40"/>
      </w:pPr>
      <w:r>
        <w:rPr>
          <w:b/>
          <w:bCs/>
          <w:sz w:val="20"/>
          <w:szCs w:val="20"/>
        </w:rPr>
        <w:t xml:space="preserve">Tabla 5.3.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356"/>
        <w:gridCol w:w="1513"/>
        <w:gridCol w:w="1625"/>
        <w:gridCol w:w="1425"/>
      </w:tblGrid>
      <w:tr w:rsidR="005741AE" w14:paraId="4942A0D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84A8C5F"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EF7E9BC" w14:textId="77777777" w:rsidR="005741AE"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7CEA73E" w14:textId="77777777" w:rsidR="005741AE" w:rsidRDefault="00000000">
            <w:pPr>
              <w:jc w:val="center"/>
            </w:pPr>
            <w:r>
              <w:rPr>
                <w:b/>
                <w:bCs/>
                <w:color w:val="FFFFFF"/>
                <w:sz w:val="18"/>
                <w:szCs w:val="18"/>
              </w:rPr>
              <w:t>Mejor estado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DF2B61C" w14:textId="77777777" w:rsidR="005741AE"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341400B" w14:textId="77777777" w:rsidR="005741AE" w:rsidRDefault="00000000">
            <w:pPr>
              <w:jc w:val="center"/>
            </w:pPr>
            <w:r>
              <w:rPr>
                <w:b/>
                <w:bCs/>
                <w:color w:val="FFFFFF"/>
                <w:sz w:val="18"/>
                <w:szCs w:val="18"/>
              </w:rPr>
              <w:t>ρ Spearman</w:t>
            </w:r>
          </w:p>
        </w:tc>
      </w:tr>
      <w:tr w:rsidR="005741AE" w14:paraId="35D4E43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C203BF5" w14:textId="77777777" w:rsidR="005741AE"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BA8EB2A" w14:textId="77777777" w:rsidR="005741AE"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A5276D6"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8A5BBA6"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1C82DB" w14:textId="77777777" w:rsidR="005741AE" w:rsidRDefault="00000000">
            <w:pPr>
              <w:jc w:val="center"/>
            </w:pPr>
            <w:r>
              <w:rPr>
                <w:sz w:val="18"/>
                <w:szCs w:val="18"/>
              </w:rPr>
              <w:t>+0,691</w:t>
            </w:r>
          </w:p>
        </w:tc>
      </w:tr>
      <w:tr w:rsidR="005741AE" w14:paraId="2CB24CBD"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434DCC"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0C59B7" w14:textId="77777777" w:rsidR="005741AE" w:rsidRDefault="00000000">
            <w:pPr>
              <w:jc w:val="center"/>
            </w:pPr>
            <w:r>
              <w:rPr>
                <w:sz w:val="18"/>
                <w:szCs w:val="18"/>
              </w:rPr>
              <w:t>T90 (frac)</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CDA6359"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22B11"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B0DEE" w14:textId="77777777" w:rsidR="005741AE" w:rsidRDefault="00000000">
            <w:pPr>
              <w:jc w:val="center"/>
            </w:pPr>
            <w:r>
              <w:rPr>
                <w:sz w:val="18"/>
                <w:szCs w:val="18"/>
              </w:rPr>
              <w:t>+0,744</w:t>
            </w:r>
          </w:p>
        </w:tc>
      </w:tr>
      <w:tr w:rsidR="005741AE" w14:paraId="1ABD3496"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F36AA01"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24BCCE" w14:textId="77777777" w:rsidR="005741AE"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6C1FE0"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20FA393"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D031805" w14:textId="77777777" w:rsidR="005741AE" w:rsidRDefault="00000000">
            <w:pPr>
              <w:jc w:val="center"/>
            </w:pPr>
            <w:r>
              <w:rPr>
                <w:sz w:val="18"/>
                <w:szCs w:val="18"/>
              </w:rPr>
              <w:t>+0,618</w:t>
            </w:r>
          </w:p>
        </w:tc>
      </w:tr>
      <w:tr w:rsidR="005741AE" w14:paraId="5B80259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7971DE1" w14:textId="77777777" w:rsidR="005741AE"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B623434" w14:textId="77777777" w:rsidR="005741AE"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1798535"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DF825AF"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3CA85EA" w14:textId="77777777" w:rsidR="005741AE" w:rsidRDefault="00000000">
            <w:pPr>
              <w:jc w:val="center"/>
            </w:pPr>
            <w:r>
              <w:rPr>
                <w:sz w:val="18"/>
                <w:szCs w:val="18"/>
              </w:rPr>
              <w:t>+0,637</w:t>
            </w:r>
          </w:p>
        </w:tc>
      </w:tr>
      <w:tr w:rsidR="005741AE" w14:paraId="04A342A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E2F0BEA" w14:textId="77777777" w:rsidR="005741AE"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DE8E5BA" w14:textId="77777777" w:rsidR="005741AE" w:rsidRDefault="00000000">
            <w:pPr>
              <w:jc w:val="center"/>
            </w:pPr>
            <w:r>
              <w:rPr>
                <w:sz w:val="18"/>
                <w:szCs w:val="18"/>
              </w:rPr>
              <w:t>T90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AC1E29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B1F9D43" w14:textId="77777777" w:rsidR="005741AE"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6E119B1" w14:textId="77777777" w:rsidR="005741AE" w:rsidRDefault="00000000">
            <w:pPr>
              <w:jc w:val="center"/>
            </w:pPr>
            <w:r>
              <w:rPr>
                <w:sz w:val="18"/>
                <w:szCs w:val="18"/>
              </w:rPr>
              <w:t>+0,705</w:t>
            </w:r>
          </w:p>
        </w:tc>
      </w:tr>
    </w:tbl>
    <w:p w14:paraId="06404EEB" w14:textId="77777777" w:rsidR="005741AE" w:rsidRDefault="00000000">
      <w:pPr>
        <w:spacing w:after="160"/>
      </w:pPr>
      <w:r>
        <w:rPr>
          <w:i/>
          <w:iCs/>
          <w:sz w:val="20"/>
          <w:szCs w:val="20"/>
        </w:rPr>
        <w:t xml:space="preserve">Nota. </w:t>
      </w:r>
      <w:r>
        <w:rPr>
          <w:sz w:val="20"/>
          <w:szCs w:val="20"/>
        </w:rPr>
        <w:t>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14:paraId="6C204FD5" w14:textId="77777777" w:rsidR="005741AE" w:rsidRDefault="00000000">
      <w:pPr>
        <w:spacing w:after="160" w:line="276" w:lineRule="auto"/>
        <w:jc w:val="both"/>
      </w:pPr>
      <w: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14:paraId="2EA37CA4" w14:textId="77777777" w:rsidR="005741AE" w:rsidRDefault="00000000">
      <w:pPr>
        <w:spacing w:before="160"/>
        <w:jc w:val="center"/>
      </w:pPr>
      <w:r>
        <w:rPr>
          <w:noProof/>
        </w:rPr>
        <w:lastRenderedPageBreak/>
        <w:drawing>
          <wp:inline distT="0" distB="0" distL="0" distR="0" wp14:anchorId="78CF3EAF" wp14:editId="41A4B3CA">
            <wp:extent cx="5295900" cy="3600450"/>
            <wp:effectExtent l="0" t="0" r="0" b="0"/>
            <wp:docPr id="235734050"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5900" cy="3600450"/>
                    </a:xfrm>
                    <a:prstGeom prst="rect">
                      <a:avLst/>
                    </a:prstGeom>
                  </pic:spPr>
                </pic:pic>
              </a:graphicData>
            </a:graphic>
          </wp:inline>
        </w:drawing>
      </w:r>
    </w:p>
    <w:p w14:paraId="50F16662" w14:textId="77777777" w:rsidR="005741AE" w:rsidRDefault="00000000">
      <w:pPr>
        <w:spacing w:before="100" w:after="40"/>
        <w:jc w:val="center"/>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14:paraId="57F1B064" w14:textId="77777777" w:rsidR="005741AE" w:rsidRDefault="00000000">
      <w:pPr>
        <w:spacing w:after="220"/>
        <w:jc w:val="center"/>
      </w:pPr>
      <w:r>
        <w:rPr>
          <w:i/>
          <w:iCs/>
          <w:sz w:val="20"/>
          <w:szCs w:val="20"/>
        </w:rPr>
        <w:t xml:space="preserve">Nota. </w:t>
      </w:r>
      <w:r>
        <w:rPr>
          <w:sz w:val="20"/>
          <w:szCs w:val="20"/>
        </w:rPr>
        <w:t>Origen: NB04. n = 560 noches, cohorte completa. Todos los ρ son Spearman bidireccionales.</w:t>
      </w:r>
    </w:p>
    <w:p w14:paraId="6E08D0A8" w14:textId="77777777" w:rsidR="005741AE" w:rsidRDefault="00000000">
      <w:pPr>
        <w:pStyle w:val="Ttulo3"/>
      </w:pPr>
      <w:r>
        <w:t>5.6.1  Fenotipos nocturnos multiescala (PCA + clustering K = 3)</w:t>
      </w:r>
    </w:p>
    <w:p w14:paraId="63399F2F" w14:textId="77777777" w:rsidR="005741AE" w:rsidRDefault="00000000">
      <w:pPr>
        <w:spacing w:after="160" w:line="276" w:lineRule="auto"/>
        <w:jc w:val="both"/>
      </w:pPr>
      <w:r>
        <w:t xml:space="preserve">Con el vocabulario de letras (S, M, L) construido, la pregunta de mayor escala es si existen </w:t>
      </w:r>
      <w:r>
        <w:rPr>
          <w:b/>
          <w:bCs/>
        </w:rPr>
        <w:t>tipos de texto reconocibles</w:t>
      </w:r>
      <w: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i/>
          <w:iCs/>
        </w:rPr>
        <w:t>K</w:t>
      </w:r>
      <w:r>
        <w:t xml:space="preserve">-means (K = 3) sobre el vector de </w:t>
      </w:r>
      <w:r>
        <w:rPr>
          <w:i/>
          <w:iCs/>
        </w:rPr>
        <w:t>features</w:t>
      </w:r>
      <w:r>
        <w:t xml:space="preserve"> nocturnas completo, que integra las fracciones de estado de las tres escalas, las entropías y los números de transición.</w:t>
      </w:r>
    </w:p>
    <w:p w14:paraId="349CCC54" w14:textId="77777777" w:rsidR="005741AE"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w:t>
      </w:r>
      <w:r>
        <w:rPr>
          <w:i/>
          <w:iCs/>
        </w:rPr>
        <w:t>features</w:t>
      </w:r>
      <w:r>
        <w:t xml:space="preserve"> nocturnas (560 noches quality). El espacio reducido bidimensional explicaría el 54,5 % de la varianza total (PC1 = 36,7 %; PC2 = 25,3 %).</w:t>
      </w:r>
    </w:p>
    <w:p w14:paraId="7E578ED3" w14:textId="77777777" w:rsidR="005741AE" w:rsidRDefault="00000000">
      <w:pPr>
        <w:spacing w:after="160" w:line="276" w:lineRule="auto"/>
        <w:jc w:val="both"/>
      </w:pPr>
      <w:r>
        <w:t xml:space="preserve">Los tres </w:t>
      </w:r>
      <w:r>
        <w:rPr>
          <w:i/>
          <w:iCs/>
        </w:rPr>
        <w:t>clusters</w:t>
      </w:r>
      <w:r>
        <w:t xml:space="preserve"> resultantes serían clínicamente interpretables (Figura 5.5): un </w:t>
      </w:r>
      <w:r>
        <w:rPr>
          <w:i/>
          <w:iCs/>
        </w:rPr>
        <w:t>cluster</w:t>
      </w:r>
      <w:r>
        <w:t xml:space="preserve"> de baja severidad (n = 211 noches; ODI3 mediano = 9,0 ev/h), un </w:t>
      </w:r>
      <w:r>
        <w:rPr>
          <w:i/>
          <w:iCs/>
        </w:rPr>
        <w:t>cluster</w:t>
      </w:r>
      <w:r>
        <w:t xml:space="preserve"> de severidad moderada-1 (n = 112 noches; ODI3 = 19,6 ev/h) y un </w:t>
      </w:r>
      <w:r>
        <w:rPr>
          <w:i/>
          <w:iCs/>
        </w:rPr>
        <w:t>cluster</w:t>
      </w:r>
      <w:r>
        <w:t xml:space="preserve"> de severidad moderada-2 (n = 237 noches; ODI3 = 18,6 ev/h). Los </w:t>
      </w:r>
      <w:r>
        <w:rPr>
          <w:i/>
          <w:iCs/>
        </w:rPr>
        <w:t>clusters</w:t>
      </w:r>
      <w:r>
        <w:t xml:space="preserve"> se segregan en el plano PC1–PC2 principalmente en el eje de severidad (PC1), lo que es compatible con que el perfil multiescala PAC capturaría la heterogeneidad clínica de forma no supervisada.</w:t>
      </w:r>
    </w:p>
    <w:p w14:paraId="000F2C78" w14:textId="77777777" w:rsidR="005741AE" w:rsidRDefault="00000000">
      <w:pPr>
        <w:spacing w:after="160" w:line="276" w:lineRule="auto"/>
        <w:jc w:val="both"/>
      </w:pPr>
      <w:r>
        <w:lastRenderedPageBreak/>
        <w:t xml:space="preserve">El hallazgo más relevante del </w:t>
      </w:r>
      <w:r>
        <w:rPr>
          <w:i/>
          <w:iCs/>
        </w:rPr>
        <w:t>clustering</w:t>
      </w:r>
      <w:r>
        <w:t xml:space="preserve"> no es la separación sino su ausencia en una dimensión específica: el ARI presentaría valores prácticamente idénticos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14:paraId="612995CA" w14:textId="77777777" w:rsidR="005741AE" w:rsidRDefault="00000000">
      <w:pPr>
        <w:spacing w:before="160"/>
        <w:jc w:val="center"/>
      </w:pPr>
      <w:r>
        <w:rPr>
          <w:noProof/>
        </w:rPr>
        <w:drawing>
          <wp:inline distT="0" distB="0" distL="0" distR="0" wp14:anchorId="66921BBB" wp14:editId="0E3EBC7D">
            <wp:extent cx="4572000" cy="3343275"/>
            <wp:effectExtent l="0" t="0" r="0" b="0"/>
            <wp:docPr id="51810942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43275"/>
                    </a:xfrm>
                    <a:prstGeom prst="rect">
                      <a:avLst/>
                    </a:prstGeom>
                  </pic:spPr>
                </pic:pic>
              </a:graphicData>
            </a:graphic>
          </wp:inline>
        </w:drawing>
      </w:r>
    </w:p>
    <w:p w14:paraId="136447F2" w14:textId="77777777" w:rsidR="005741AE" w:rsidRDefault="00000000">
      <w:pPr>
        <w:spacing w:before="100" w:after="40"/>
        <w:jc w:val="center"/>
      </w:pPr>
      <w:r>
        <w:rPr>
          <w:b/>
          <w:bCs/>
          <w:sz w:val="20"/>
          <w:szCs w:val="20"/>
        </w:rPr>
        <w:t xml:space="preserve">Figura 5.5. </w:t>
      </w:r>
      <w:r>
        <w:rPr>
          <w:sz w:val="20"/>
          <w:szCs w:val="20"/>
        </w:rPr>
        <w:t>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14:paraId="0928BCB3" w14:textId="77777777" w:rsidR="005741AE" w:rsidRDefault="00000000">
      <w:pPr>
        <w:spacing w:after="220"/>
        <w:jc w:val="center"/>
      </w:pPr>
      <w:r>
        <w:rPr>
          <w:i/>
          <w:iCs/>
          <w:sz w:val="20"/>
          <w:szCs w:val="20"/>
        </w:rPr>
        <w:t xml:space="preserve">Nota. </w:t>
      </w:r>
      <w:r>
        <w:rPr>
          <w:sz w:val="20"/>
          <w:szCs w:val="20"/>
        </w:rPr>
        <w:t>Origen: NB04. PC1 explica el 36,7 % de la varianza (loadings dominantes: frac_s_S2, frac_s_S1, frac_m_M0, frac_m_M4); PC2 explica el 25,3 % (entropy y n_transitions en las tres escalas). n = 560 noches quality.</w:t>
      </w:r>
    </w:p>
    <w:p w14:paraId="7ADBD1D3" w14:textId="77777777" w:rsidR="005741AE" w:rsidRDefault="00000000">
      <w:pPr>
        <w:pStyle w:val="Ttulo2"/>
      </w:pPr>
      <w:r>
        <w:t>5.7  Síntesis y limitaciones</w:t>
      </w:r>
    </w:p>
    <w:p w14:paraId="5E0D91B3" w14:textId="77777777" w:rsidR="005741AE" w:rsidRDefault="00000000">
      <w:pPr>
        <w:spacing w:after="160" w:line="276" w:lineRule="auto"/>
        <w:jc w:val="both"/>
      </w:pPr>
      <w:r>
        <w:t xml:space="preserve">El vocabulario nocturno construido en este capítulo permite formular con mayor precisión tanto lo que el lenguaje PAC States nombra como lo que no puede nombrar. </w:t>
      </w:r>
      <w:r>
        <w:rPr>
          <w:b/>
          <w:bCs/>
        </w:rPr>
        <w:t>Lo que el lenguaje nombraría</w:t>
      </w:r>
      <w: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b/>
          <w:bCs/>
        </w:rPr>
        <w:t>Lo que el lenguaje no nombraría</w:t>
      </w:r>
      <w: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i/>
          <w:iCs/>
        </w:rPr>
        <w:t>medir</w:t>
      </w:r>
      <w:r>
        <w:t xml:space="preserve"> la reactividad autonómica —S5 la capturaría con ρ = +0,637— pero no predecirla desde la estructura hipóxica de la noche. Esa ortogonalidad sería, paradójicamente, el hallazgo más informativo del capítulo.</w:t>
      </w:r>
    </w:p>
    <w:p w14:paraId="499B5838" w14:textId="77777777" w:rsidR="005741AE" w:rsidRDefault="00000000">
      <w:pPr>
        <w:spacing w:after="160" w:line="276" w:lineRule="auto"/>
        <w:jc w:val="both"/>
      </w:pPr>
      <w:r>
        <w:lastRenderedPageBreak/>
        <w:t>La Tabla 5.4 sintetiza el resultado conceptual central: cada dimensión de la fisiopatología nocturna encontraría su expresión óptima en una escala temporal y un estado PAC distinto.</w:t>
      </w:r>
    </w:p>
    <w:p w14:paraId="67942E2A" w14:textId="77777777" w:rsidR="005741AE" w:rsidRDefault="005741AE">
      <w:pPr>
        <w:spacing w:after="80"/>
      </w:pPr>
    </w:p>
    <w:p w14:paraId="3ABBE896" w14:textId="77777777" w:rsidR="005741AE" w:rsidRDefault="00000000">
      <w:pPr>
        <w:spacing w:before="160" w:after="40"/>
      </w:pPr>
      <w:r>
        <w:rPr>
          <w:b/>
          <w:bCs/>
          <w:sz w:val="20"/>
          <w:szCs w:val="20"/>
        </w:rPr>
        <w:t xml:space="preserve">Tabla 5.4. </w:t>
      </w:r>
      <w:r>
        <w:rPr>
          <w:sz w:val="20"/>
          <w:szCs w:val="20"/>
        </w:rPr>
        <w:t>Matriz síntesis: estado PAC clave por dimensión fisiológica y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09"/>
        <w:gridCol w:w="3716"/>
        <w:gridCol w:w="2089"/>
      </w:tblGrid>
      <w:tr w:rsidR="005741AE" w14:paraId="5E11324F"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D68879"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23E7CD3" w14:textId="77777777" w:rsidR="005741AE" w:rsidRDefault="00000000">
            <w:pPr>
              <w:jc w:val="center"/>
            </w:pPr>
            <w:r>
              <w:rPr>
                <w:b/>
                <w:bCs/>
                <w:color w:val="FFFFFF"/>
                <w:sz w:val="18"/>
                <w:szCs w:val="18"/>
              </w:rPr>
              <w:t>Estado clave</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2476F96"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990AB88" w14:textId="77777777" w:rsidR="005741AE" w:rsidRDefault="00000000">
            <w:pPr>
              <w:jc w:val="center"/>
            </w:pPr>
            <w:r>
              <w:rPr>
                <w:b/>
                <w:bCs/>
                <w:color w:val="FFFFFF"/>
                <w:sz w:val="18"/>
                <w:szCs w:val="18"/>
              </w:rPr>
              <w:t>Mejor ρ Spearman</w:t>
            </w:r>
          </w:p>
        </w:tc>
      </w:tr>
      <w:tr w:rsidR="005741AE" w14:paraId="4A9E581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4C3D97D"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87B739D"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0F3AC2" w14:textId="77777777" w:rsidR="005741AE" w:rsidRDefault="00000000">
            <w:r>
              <w:rPr>
                <w:sz w:val="18"/>
                <w:szCs w:val="18"/>
              </w:rPr>
              <w:t>Frecuencia de eventos (AHI / ODI)</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4DED88" w14:textId="77777777" w:rsidR="005741AE" w:rsidRDefault="00000000">
            <w:pPr>
              <w:jc w:val="center"/>
            </w:pPr>
            <w:r>
              <w:rPr>
                <w:sz w:val="18"/>
                <w:szCs w:val="18"/>
              </w:rPr>
              <w:t>+0,691  (AHI3)</w:t>
            </w:r>
          </w:p>
        </w:tc>
      </w:tr>
      <w:tr w:rsidR="005741AE" w14:paraId="65FF8B8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A55FF7"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E5F4DC3"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937132D" w14:textId="77777777" w:rsidR="005741AE" w:rsidRDefault="00000000">
            <w:r>
              <w:rPr>
                <w:sz w:val="18"/>
                <w:szCs w:val="18"/>
              </w:rPr>
              <w:t>Reactividad autonómica (ARI)</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756F4" w14:textId="77777777" w:rsidR="005741AE" w:rsidRDefault="00000000">
            <w:pPr>
              <w:jc w:val="center"/>
            </w:pPr>
            <w:r>
              <w:rPr>
                <w:sz w:val="18"/>
                <w:szCs w:val="18"/>
              </w:rPr>
              <w:t>+0,637  (ARI media)</w:t>
            </w:r>
          </w:p>
        </w:tc>
      </w:tr>
      <w:tr w:rsidR="005741AE" w14:paraId="1F2E60F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799BA47" w14:textId="77777777" w:rsidR="005741AE" w:rsidRDefault="00000000">
            <w:pPr>
              <w:jc w:val="center"/>
            </w:pPr>
            <w:r>
              <w:rPr>
                <w:b/>
                <w:bCs/>
                <w:sz w:val="18"/>
                <w:szCs w:val="18"/>
              </w:rPr>
              <w:t>M — 5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8BFAA6"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81BAFBC" w14:textId="77777777" w:rsidR="005741AE" w:rsidRDefault="00000000">
            <w:r>
              <w:rPr>
                <w:sz w:val="18"/>
                <w:szCs w:val="18"/>
              </w:rPr>
              <w:t>Carga hipóxica acumulada (T90, 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19BB0" w14:textId="77777777" w:rsidR="005741AE" w:rsidRDefault="00000000">
            <w:pPr>
              <w:jc w:val="center"/>
            </w:pPr>
            <w:r>
              <w:rPr>
                <w:sz w:val="18"/>
                <w:szCs w:val="18"/>
              </w:rPr>
              <w:t>+0,744  (T90)</w:t>
            </w:r>
          </w:p>
        </w:tc>
      </w:tr>
      <w:tr w:rsidR="005741AE" w14:paraId="3A07F1E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14BB0A3" w14:textId="77777777" w:rsidR="005741AE" w:rsidRDefault="00000000">
            <w:pPr>
              <w:jc w:val="center"/>
            </w:pPr>
            <w:r>
              <w:rPr>
                <w:b/>
                <w:bCs/>
                <w:sz w:val="18"/>
                <w:szCs w:val="18"/>
              </w:rPr>
              <w:t>L — 30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FC4382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5AC03D2" w14:textId="77777777" w:rsidR="005741AE" w:rsidRDefault="00000000">
            <w:r>
              <w:rPr>
                <w:sz w:val="18"/>
                <w:szCs w:val="18"/>
              </w:rPr>
              <w:t>Arquitectura hipóxica global (T90)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31B513A" w14:textId="77777777" w:rsidR="005741AE" w:rsidRDefault="00000000">
            <w:pPr>
              <w:jc w:val="center"/>
            </w:pPr>
            <w:r>
              <w:rPr>
                <w:sz w:val="18"/>
                <w:szCs w:val="18"/>
              </w:rPr>
              <w:t>+0,705  (T90 min)</w:t>
            </w:r>
          </w:p>
        </w:tc>
      </w:tr>
    </w:tbl>
    <w:p w14:paraId="5DD881A9" w14:textId="77777777" w:rsidR="005741AE" w:rsidRDefault="00000000">
      <w:pPr>
        <w:spacing w:after="160"/>
      </w:pPr>
      <w:r>
        <w:rPr>
          <w:i/>
          <w:iCs/>
          <w:sz w:val="20"/>
          <w:szCs w:val="20"/>
        </w:rPr>
        <w:t xml:space="preserve">Nota. </w:t>
      </w:r>
      <w:r>
        <w:rPr>
          <w:sz w:val="20"/>
          <w:szCs w:val="20"/>
        </w:rPr>
        <w:t>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14:paraId="55F32090" w14:textId="77777777" w:rsidR="005741AE"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14:paraId="6B350AED" w14:textId="77777777" w:rsidR="005741AE" w:rsidRDefault="00000000">
      <w:pPr>
        <w:spacing w:after="160" w:line="276" w:lineRule="auto"/>
        <w:jc w:val="both"/>
      </w:pPr>
      <w:r>
        <w:t>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14:paraId="6CF12566" w14:textId="77777777" w:rsidR="005741AE" w:rsidRDefault="00000000">
      <w:pPr>
        <w:spacing w:after="160" w:line="276" w:lineRule="auto"/>
        <w:jc w:val="both"/>
      </w:pPr>
      <w: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i/>
          <w:iCs/>
        </w:rPr>
        <w:t>clustering</w:t>
      </w:r>
      <w:r>
        <w:t xml:space="preserve"> no supervisado sobre el mismo corpus analizado; la validación prospectiva sobre una cohorte independiente sería necesaria antes de cualquier interpretación clínica definitiva. Adicionalmente, los clusters obtenidos por </w:t>
      </w:r>
      <w:r>
        <w:rPr>
          <w:i/>
          <w:iCs/>
        </w:rPr>
        <w:t>K</w:t>
      </w:r>
      <w:r>
        <w:t xml:space="preserve">-means son particiones matemáticas del espacio de </w:t>
      </w:r>
      <w:r>
        <w:rPr>
          <w:i/>
          <w:iCs/>
        </w:rPr>
        <w:t>features</w:t>
      </w:r>
      <w: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w:t>
      </w:r>
      <w:r>
        <w:lastRenderedPageBreak/>
        <w:t>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14:paraId="7A34AB45" w14:textId="77777777" w:rsidR="005741AE" w:rsidRDefault="00000000">
      <w:pPr>
        <w:spacing w:after="160" w:line="276" w:lineRule="auto"/>
        <w:jc w:val="both"/>
      </w:pPr>
      <w:r>
        <w:t xml:space="preserve">El capítulo siguiente (Capítulo 6) utiliza las </w:t>
      </w:r>
      <w:r>
        <w:rPr>
          <w:i/>
          <w:iCs/>
        </w:rPr>
        <w:t>features</w:t>
      </w:r>
      <w:r>
        <w:t xml:space="preserve"> nocturnas multiescala como insumo principal para los modelos de predicción de severidad y para el análisis del acoplamiento entre estados PAC y morfotipos de evento (NB05A–NB06).</w:t>
      </w:r>
    </w:p>
    <w:p w14:paraId="519B6196" w14:textId="77777777" w:rsidR="005741AE" w:rsidRDefault="005741AE">
      <w:pPr>
        <w:spacing w:after="200"/>
      </w:pPr>
    </w:p>
    <w:p w14:paraId="50FBAA82" w14:textId="77777777" w:rsidR="005741AE" w:rsidRDefault="00000000">
      <w:pPr>
        <w:pStyle w:val="Ttulo2"/>
      </w:pPr>
      <w:r>
        <w:t>Referencias</w:t>
      </w:r>
    </w:p>
    <w:p w14:paraId="61C91018" w14:textId="77777777" w:rsidR="005741AE" w:rsidRDefault="00000000">
      <w:pPr>
        <w:spacing w:after="100"/>
        <w:ind w:left="720" w:hanging="720"/>
      </w:pPr>
      <w:r>
        <w:rPr>
          <w:sz w:val="20"/>
          <w:szCs w:val="20"/>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97B64DF" w14:textId="77777777" w:rsidR="005741AE" w:rsidRDefault="00000000">
      <w:pPr>
        <w:spacing w:after="100"/>
        <w:ind w:left="720" w:hanging="720"/>
      </w:pPr>
      <w:r>
        <w:rPr>
          <w:sz w:val="20"/>
          <w:szCs w:val="20"/>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0DD9BE65" w14:textId="77777777" w:rsidR="005741AE" w:rsidRDefault="00000000">
      <w:pPr>
        <w:spacing w:after="100"/>
        <w:ind w:left="720" w:hanging="720"/>
      </w:pPr>
      <w:r>
        <w:rPr>
          <w:sz w:val="20"/>
          <w:szCs w:val="20"/>
        </w:rPr>
        <w:t>Bonsignore, M. R., Baiamonte, P., Mazzuca, E., Castrogiovanni, A., &amp; Marrone, O. (2019). Obstructive sleep apnea and comorbidities: a dangerous liaison. Multidisciplinary Respiratory Medicine, 14(1), 8. https://doi.org/10.1186/s40248-019-0172-9</w:t>
      </w:r>
    </w:p>
    <w:p w14:paraId="7569D412" w14:textId="77777777" w:rsidR="005741AE" w:rsidRDefault="00000000">
      <w:pPr>
        <w:spacing w:after="100"/>
        <w:ind w:left="720" w:hanging="720"/>
      </w:pPr>
      <w:r>
        <w:rPr>
          <w:sz w:val="20"/>
          <w:szCs w:val="20"/>
        </w:rPr>
        <w:t>Inza, R., et al. (en preparación). Fenotipado morfológico y respuesta autonómica en eventos de desaturación nocturna: el Índice de Reactividad Autonómica (ARI). [T1]</w:t>
      </w:r>
    </w:p>
    <w:p w14:paraId="77F9BD42" w14:textId="77777777" w:rsidR="005741AE" w:rsidRDefault="00000000">
      <w:pPr>
        <w:spacing w:after="100"/>
        <w:ind w:left="720" w:hanging="720"/>
      </w:pPr>
      <w:r>
        <w:rPr>
          <w:sz w:val="20"/>
          <w:szCs w:val="20"/>
        </w:rPr>
        <w:t>Inza, R., et al. (en preparación). Estados dinámicos multiescala de la fisiología respiratoria nocturna: morfotipos, carga hipóxica y reactividad autonómica. [T2]</w:t>
      </w:r>
    </w:p>
    <w:p w14:paraId="42DE7D72" w14:textId="77777777" w:rsidR="005741AE" w:rsidRDefault="00000000">
      <w:pPr>
        <w:spacing w:after="100"/>
        <w:ind w:left="720" w:hanging="720"/>
      </w:pPr>
      <w:r>
        <w:rPr>
          <w:sz w:val="20"/>
          <w:szCs w:val="20"/>
        </w:rPr>
        <w:t>Lévy, P., Kohler, M., McNicholas, W. T., Barbé, F., McEvoy, R. D., Somers, V. K., ... &amp; Pépin, J.-L. (2015). Obstructive sleep apnoea syndrome. Nature Reviews Disease Primers, 1, 15015. https://doi.org/10.1038/nrdp.2015.15</w:t>
      </w:r>
    </w:p>
    <w:p w14:paraId="6C7F4A9D" w14:textId="77777777" w:rsidR="005741AE" w:rsidRDefault="00000000">
      <w:pPr>
        <w:spacing w:after="100"/>
        <w:ind w:left="720" w:hanging="720"/>
      </w:pPr>
      <w:r>
        <w:rPr>
          <w:sz w:val="20"/>
          <w:szCs w:val="20"/>
        </w:rPr>
        <w:t>Linz, D., McEvoy, R. D., Cowie, M. R., Somers, V. K., Nattel, S., Lévy, P., ... &amp; Sanders, P. (2018). Associations of obstructive sleep apnea with atrial fibrillation, stroke, sudden cardiac death, and mortality: a review. JAMA Cardiology, 3(6), 532–540. https://doi.org/10.1001/jamacardio.2018.0823</w:t>
      </w:r>
    </w:p>
    <w:p w14:paraId="6A5E5ED2" w14:textId="77777777" w:rsidR="005741AE" w:rsidRDefault="00000000">
      <w:pPr>
        <w:spacing w:after="100"/>
        <w:ind w:left="720" w:hanging="720"/>
      </w:pPr>
      <w:r>
        <w:rPr>
          <w:sz w:val="20"/>
          <w:szCs w:val="20"/>
        </w:rPr>
        <w:t>Nieto, F. J., Young, T. B., Lind, B. K., Shahar, E., Samet, J. M., Redline, S., ... &amp; Pickering, T. G. (2000). Association of sleep-disordered breathing, sleep apnea, and hypertension in a large community-based study. JAMA, 283(14), 1829–1836. https://doi.org/10.1001/jama.283.14.1829</w:t>
      </w:r>
    </w:p>
    <w:p w14:paraId="41688CCF" w14:textId="77777777" w:rsidR="005741AE" w:rsidRDefault="00000000">
      <w:pPr>
        <w:spacing w:after="100"/>
        <w:ind w:left="720" w:hanging="720"/>
      </w:pPr>
      <w:r>
        <w:rPr>
          <w:sz w:val="20"/>
          <w:szCs w:val="20"/>
        </w:rPr>
        <w:t>Peppard, P. E., Young, T., Barnet, J. H., Palta, M., Hagen, E. W., &amp; Hla, K. M. (2013). Increased prevalence of sleep-disordered breathing in adults. American Journal of Epidemiology, 177(9), 1006–1014. https://doi.org/10.1093/aje/kws342</w:t>
      </w:r>
    </w:p>
    <w:p w14:paraId="62EEB7F7" w14:textId="77777777" w:rsidR="005741AE" w:rsidRDefault="00000000">
      <w:pPr>
        <w:spacing w:after="100"/>
        <w:ind w:left="720" w:hanging="720"/>
      </w:pPr>
      <w:r>
        <w:rPr>
          <w:sz w:val="20"/>
          <w:szCs w:val="20"/>
        </w:rPr>
        <w:t>Shrout, P. E., &amp; Fleiss, J. L. (1979). Intraclass correlations: uses in assessing rater reliability. Psychological Bulletin, 86(2), 420–428. https://doi.org/10.1037/0033-2909.86.2.420</w:t>
      </w:r>
    </w:p>
    <w:p w14:paraId="7B14659B" w14:textId="77777777" w:rsidR="005741AE" w:rsidRDefault="00000000">
      <w:pPr>
        <w:spacing w:after="100"/>
        <w:ind w:left="720" w:hanging="720"/>
      </w:pPr>
      <w:r>
        <w:rPr>
          <w:sz w:val="20"/>
          <w:szCs w:val="20"/>
        </w:rPr>
        <w:t>Wasserstein, R. L., &amp; Lazar, N. A. (2016). The ASA statement on p-values: context, process, and purpose. The American Statistician, 70(2), 129–133. https://doi.org/10.1080/00031305.2016.1154108</w:t>
      </w:r>
    </w:p>
    <w:p w14:paraId="588AD435" w14:textId="77777777" w:rsidR="005741AE" w:rsidRDefault="00000000">
      <w:pPr>
        <w:spacing w:after="100"/>
        <w:ind w:left="720" w:hanging="720"/>
      </w:pPr>
      <w:r>
        <w:rPr>
          <w:sz w:val="20"/>
          <w:szCs w:val="20"/>
        </w:rPr>
        <w:t>Yaggi, H. K., Concato, J., Kernan, W. N., Lichtman, J. H., Brass, L. M., &amp; Mohsenin, V. (2005). Obstructive sleep apnea as a risk factor for stroke and death. New England Journal of Medicine, 353(19), 2034–2041. https://doi.org/10.1056/NEJMoa043104</w:t>
      </w:r>
    </w:p>
    <w:p w14:paraId="60FBDA7B" w14:textId="77777777" w:rsidR="005741AE" w:rsidRDefault="00000000">
      <w:pPr>
        <w:spacing w:after="100"/>
        <w:ind w:left="720" w:hanging="720"/>
      </w:pPr>
      <w:r>
        <w:rPr>
          <w:sz w:val="20"/>
          <w:szCs w:val="20"/>
        </w:rPr>
        <w:lastRenderedPageBreak/>
        <w:t>Ye, L., Pien, G. W., Ratcliffe, S. J., Björnsdóttir, E., Arnardottir, E. S., Pack, A. I., ... &amp; Benediktsdóttir, B. (2014). The different clinical faces of obstructive sleep apnoea: a cluster analysis. European Respiratory Journal, 44(6), 1600–1607. https://doi.org/10.1183/09031936.00032314</w:t>
      </w:r>
    </w:p>
    <w:sectPr w:rsidR="005741AE">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2B6D" w14:textId="77777777" w:rsidR="00D0058B" w:rsidRDefault="00D0058B">
      <w:r>
        <w:separator/>
      </w:r>
    </w:p>
  </w:endnote>
  <w:endnote w:type="continuationSeparator" w:id="0">
    <w:p w14:paraId="40C19EEB" w14:textId="77777777" w:rsidR="00D0058B" w:rsidRDefault="00D00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ADE1" w14:textId="77777777" w:rsidR="005741AE"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F2601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B7759" w14:textId="77777777" w:rsidR="00D0058B" w:rsidRDefault="00D0058B">
      <w:r>
        <w:separator/>
      </w:r>
    </w:p>
  </w:footnote>
  <w:footnote w:type="continuationSeparator" w:id="0">
    <w:p w14:paraId="1D7BA4F7" w14:textId="77777777" w:rsidR="00D0058B" w:rsidRDefault="00D00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BA6B" w14:textId="53B0C9A4" w:rsidR="005741AE"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5 — PAC States Multiescala  (v1</w:t>
    </w:r>
    <w:r w:rsidR="008404BA">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3B80"/>
    <w:multiLevelType w:val="hybridMultilevel"/>
    <w:tmpl w:val="A490CDD2"/>
    <w:lvl w:ilvl="0" w:tplc="68A4B456">
      <w:start w:val="1"/>
      <w:numFmt w:val="bullet"/>
      <w:lvlText w:val="●"/>
      <w:lvlJc w:val="left"/>
      <w:pPr>
        <w:ind w:left="720" w:hanging="360"/>
      </w:pPr>
    </w:lvl>
    <w:lvl w:ilvl="1" w:tplc="C5DC1C56">
      <w:start w:val="1"/>
      <w:numFmt w:val="bullet"/>
      <w:lvlText w:val="○"/>
      <w:lvlJc w:val="left"/>
      <w:pPr>
        <w:ind w:left="1440" w:hanging="360"/>
      </w:pPr>
    </w:lvl>
    <w:lvl w:ilvl="2" w:tplc="54B4D840">
      <w:start w:val="1"/>
      <w:numFmt w:val="bullet"/>
      <w:lvlText w:val="■"/>
      <w:lvlJc w:val="left"/>
      <w:pPr>
        <w:ind w:left="2160" w:hanging="360"/>
      </w:pPr>
    </w:lvl>
    <w:lvl w:ilvl="3" w:tplc="C068EE96">
      <w:start w:val="1"/>
      <w:numFmt w:val="bullet"/>
      <w:lvlText w:val="●"/>
      <w:lvlJc w:val="left"/>
      <w:pPr>
        <w:ind w:left="2880" w:hanging="360"/>
      </w:pPr>
    </w:lvl>
    <w:lvl w:ilvl="4" w:tplc="7C241774">
      <w:start w:val="1"/>
      <w:numFmt w:val="bullet"/>
      <w:lvlText w:val="○"/>
      <w:lvlJc w:val="left"/>
      <w:pPr>
        <w:ind w:left="3600" w:hanging="360"/>
      </w:pPr>
    </w:lvl>
    <w:lvl w:ilvl="5" w:tplc="44D2C234">
      <w:start w:val="1"/>
      <w:numFmt w:val="bullet"/>
      <w:lvlText w:val="■"/>
      <w:lvlJc w:val="left"/>
      <w:pPr>
        <w:ind w:left="4320" w:hanging="360"/>
      </w:pPr>
    </w:lvl>
    <w:lvl w:ilvl="6" w:tplc="C6E48C36">
      <w:start w:val="1"/>
      <w:numFmt w:val="bullet"/>
      <w:lvlText w:val="●"/>
      <w:lvlJc w:val="left"/>
      <w:pPr>
        <w:ind w:left="5040" w:hanging="360"/>
      </w:pPr>
    </w:lvl>
    <w:lvl w:ilvl="7" w:tplc="8E943DE4">
      <w:start w:val="1"/>
      <w:numFmt w:val="bullet"/>
      <w:lvlText w:val="●"/>
      <w:lvlJc w:val="left"/>
      <w:pPr>
        <w:ind w:left="5760" w:hanging="360"/>
      </w:pPr>
    </w:lvl>
    <w:lvl w:ilvl="8" w:tplc="A566A9F8">
      <w:start w:val="1"/>
      <w:numFmt w:val="bullet"/>
      <w:lvlText w:val="●"/>
      <w:lvlJc w:val="left"/>
      <w:pPr>
        <w:ind w:left="6480" w:hanging="360"/>
      </w:pPr>
    </w:lvl>
  </w:abstractNum>
  <w:num w:numId="1" w16cid:durableId="1645548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AE"/>
    <w:rsid w:val="005741AE"/>
    <w:rsid w:val="008404BA"/>
    <w:rsid w:val="00AA5355"/>
    <w:rsid w:val="00CD0BA5"/>
    <w:rsid w:val="00D0058B"/>
    <w:rsid w:val="00F260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8FB7149"/>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20"/>
      <w:outlineLvl w:val="1"/>
    </w:pPr>
    <w:rPr>
      <w:b/>
      <w:bCs/>
      <w:color w:val="2E74B5"/>
      <w:sz w:val="26"/>
      <w:szCs w:val="26"/>
    </w:rPr>
  </w:style>
  <w:style w:type="paragraph" w:styleId="Ttulo3">
    <w:name w:val="heading 3"/>
    <w:uiPriority w:val="9"/>
    <w:unhideWhenUsed/>
    <w:qFormat/>
    <w:pPr>
      <w:spacing w:before="240" w:after="80"/>
      <w:outlineLvl w:val="2"/>
    </w:pPr>
    <w:rPr>
      <w:b/>
      <w:bCs/>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26010"/>
    <w:pPr>
      <w:tabs>
        <w:tab w:val="center" w:pos="4419"/>
        <w:tab w:val="right" w:pos="8838"/>
      </w:tabs>
    </w:pPr>
  </w:style>
  <w:style w:type="character" w:customStyle="1" w:styleId="EncabezadoCar">
    <w:name w:val="Encabezado Car"/>
    <w:basedOn w:val="Fuentedeprrafopredeter"/>
    <w:link w:val="Encabezado"/>
    <w:uiPriority w:val="99"/>
    <w:rsid w:val="00F26010"/>
  </w:style>
  <w:style w:type="paragraph" w:styleId="Piedepgina">
    <w:name w:val="footer"/>
    <w:basedOn w:val="Normal"/>
    <w:link w:val="PiedepginaCar"/>
    <w:uiPriority w:val="99"/>
    <w:unhideWhenUsed/>
    <w:rsid w:val="00F26010"/>
    <w:pPr>
      <w:tabs>
        <w:tab w:val="center" w:pos="4419"/>
        <w:tab w:val="right" w:pos="8838"/>
      </w:tabs>
    </w:pPr>
  </w:style>
  <w:style w:type="character" w:customStyle="1" w:styleId="PiedepginaCar">
    <w:name w:val="Pie de página Car"/>
    <w:basedOn w:val="Fuentedeprrafopredeter"/>
    <w:link w:val="Piedepgina"/>
    <w:uiPriority w:val="99"/>
    <w:rsid w:val="00F26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5873</Words>
  <Characters>31778</Characters>
  <Application>Microsoft Office Word</Application>
  <DocSecurity>0</DocSecurity>
  <Lines>567</Lines>
  <Paragraphs>216</Paragraphs>
  <ScaleCrop>false</ScaleCrop>
  <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2026-05-26T23:11:00Z</dcterms:created>
  <dcterms:modified xsi:type="dcterms:W3CDTF">2026-05-26T23:11:00Z</dcterms:modified>
</cp:coreProperties>
</file>