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15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0,355 en escala S, 0,229 en M, 0,194 en L; NB05, 83.892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83.000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Las secciones precedentes de este capítulo discutieron cada componente del Proyecto PAC frente a la literatura: el fenotipado morfológico (§9.2), los estados dinámicos (§9.3), el acoplamiento (§9.4), los modelos predictivos (§9.5) y la plataforma domiciliaria (§9.6). Lo que §9.7 agrega es la lectura integrada de ese arco: qué habilita el conjunto y qué queda fuera de su alcance. La lectura integrada es esta: 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§9.7 articula.</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SAOS es, por definición, una condición heterogénea: su fisiopatología varía entre pacientes, su severidad varía entre noches del mismo paciente, y su respuesta a distintas formas de tratamiento no es uniforme. Esta heterogeneidad, que la literatura clínica del SAOS discute hace décadas, tiene una manifestación concreta y cuantificada en el módulo NB08: la prevalencia de eventos severos varía 20 veces entre los pacientes de la cohorte (1,6 %–32,1 %). Un sistema de activación calibrado globalmente sobre ese rango sería, en el mejor caso, adecuado para los pacientes del centro de la distribución y subóptimo para todos los demás. La implicancia no es que el sistema no funcione: es que su traslación clínica requiere calibración individual como primera etapa, no como optimización opcional. El diseño natural para esa calibración —un período de caracterización domiciliaria sin activación del estimulador, que el protocolo del SOMNI 6000 ya contempla— es también la fuente de los parámetros individuales que el pipeline PAC necesita para ajustar el umbral de activación de cada paciente.</w:t>
      </w:r>
    </w:p>
    <w:p>
      <w:pPr>
        <w:spacing w:after="160" w:line="276"/>
        <w:jc w:val="both"/>
      </w:pPr>
      <w:r>
        <w:rPr>
          <w:rFonts w:ascii="Arial" w:cs="Arial" w:eastAsia="Arial" w:hAnsi="Arial"/>
        </w:rPr>
        <w:t xml:space="preserve">La relación entre prevalencia y discriminación que emerge del corpus tiene una implicancia más general para el diseño de sistemas de alerta en SAOS. El paciente de menor prevalencia de la cohorte (1,6 % de ventanas positivas) muestra paradójicamente el AUC más alto en todos los horizontes (0,87–0,84). Este resultado, documentado en el módulo NB08, sugiere que la discriminación es más alta cuando los eventos severos son fisiológicamente inusuales para ese paciente: el sistema PAC los anticipa bien precisamente porque el estado fisiológico previo a esos eventos contrasta con el estado habitual de ese individuo. La implicancia inversa es inquietante: los pacientes de mayor carga hipóxica (SAOS severo con hipoxemia basal persistente) podrían ser los más difíciles de anticipar algorítmicamente, no porque el sistema PAC falle en detectar la señal, sino porque en ellos los eventos severos son el estado habitual y no el estado excepcional. La discriminación requiere contraste; cuando el estado de riesgo es crónico, ese contraste se erosiona.</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circularidad potencial de las representaciones PAC —discutida técnicamente en el módulo NB08— tiene una implicancia que trasciende el problema metodológico interno: condiciona la replicabilidad del pipeline en cualquier nueva cohorte. Las dos estrategias de resolución (validación en cohorte externa con clusters aprendidos de forma independiente, o reconstrucción within-fold) no son equivalentes en lo que demuestran. La cohorte externa demostraría que los morfotipos y estados PAC son transferibles: que la taxonomía construida sobre 12 pacientes captura propiedades fisiológicas genéricas del SAOS, no idiosincrasias de esa cohorte particular. La reconstrucción within-fold demostraría que el AUC es metodológicamente limpio pero no resuelve la pregunta de transferibilidad. Para los fines de traslación clínica, la cohorte externa es la prueba que importa: si los morfotipos C1–C5 y los estados S/M/L se reproducen en una cohorte independiente con distribución demográfica diferente, el pipeline PAC puede considerarse un instrumento de caracterización generalizable, no un sistema sobreajustado a sus datos de origen.</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Lo que distingue este diseño de un ensayo estándar de CPAP es la fase de caracterización: los 7-14 días sin estimulación no son solo un período de rodaje del dispositivo, sino la fuente de los parámetros individuales —prevalencia de eventos severos, umbral de activación, perfil de estados PAC habituales— que el módulo NB08 necesita para operar de forma personalizada. Esa fase sirve simultáneamente para estimar el umbral individual y para confirmar el fenotipo PAC antes de la aleatorización, una eficiencia de diseño que los ensayos de CPAP convencional no tienen porque CPAP no requiere calibración individual previa. El modelo de referencia metodológico más cercano es el de los estudios de auto-CPAP con titulación domiciliaria (Lévy et al., 2015), donde la primera semana de monitoreo fija los parámetros de presión antes de la fase terapéutica aleatorizada.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Lo que importa reconocer en este cierre es que no se trata de limitaciones independientes: interactúan y su efecto combinado define un perfil específico de generalizabilidad. La cohorte es pequeña (n = 8 para los módulos supervisados) y reclutada en un único centro privado especializado, lo que significa que el universe de pacientes representados es el del SAOS moderado-severo diagnosticado que busca atención. Las representaciones PAC fueron construidas sobre esa misma cohorte y validadas con LOPO-CV, que controla la dependencia longitudinal pero no elimina la circularidad. Las probabilidades de los modelos prospectivos no están calibradas en términos absolutos. El estimulador transcutáneo del SOMNI 6000 permanece como hipótesis operacional sin evaluación terapéutica.</w:t>
      </w:r>
    </w:p>
    <w:p>
      <w:pPr>
        <w:spacing w:after="160" w:line="276"/>
        <w:jc w:val="both"/>
      </w:pPr>
      <w:r>
        <w:rPr>
          <w:rFonts w:ascii="Arial" w:cs="Arial" w:eastAsia="Arial" w:hAnsi="Arial"/>
        </w:rPr>
        <w:t xml:space="preserve">La interacción entre estas limitaciones produce un corolario claro sobre qué tipo de evidencia puede y no puede extraerse de estos resultados: la discriminación (AUC, AP) y la consistencia entre folds LOPO-CV son confiables; la calibración absoluta de las probabilidades, no lo es sin ajuste externo; la generalización a pacientes con SAOS leve o sin diagnóstico, no es posible sin cohorte de validación con diferente distribución demográfica y clínica; y la efectividad terapéutica requiere el ensayo controlado explicitado en §9.7.4. Las dos primeras limitaciones (tamaño muestral y sesgo de selección) son estructurales para esta cohorte; las dos segundas (circularidad y ausencia de PSG) se resuelven parcialmente con el diseño de cohorte externa descrito en §9.7.3. La quinta (hipótesis del estimulador) es independiente de cualquier extensión analítica del pipeline y pertenece al dominio clínico.</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Los 12 participantes fueron reclutados en una práctica médica privada especializada: todos presentaban sospecha clínica de SAOS y sobrerepresentan el rango moderado-severo. El SAOS afecta al 9-38 % de los adultos según criterios y demografía (Benjafield et al., 2019); la cohorte PAC no cubre ese espectro completo. Cualquier traslación del pipeline a contextos de tamizaje poblacional o monitoreo de SAOS leve requiere una cohorte de validación sustancialmente diferente en composición clínica.</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domiciliarios. Esto impide comparar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relevante del arco analítico y el que la cohorte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producen probabilidades con sobreestimación de aproximadamente 4 veces para el módulo prospectivo; las métricas de discriminación (AUC, AP) son robustas. Un sistema de activación clínica requeriría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de que el estímulo eléctrico genera una respuesta autonómica que reduce la probabilidad o severidad del evento anticipado. Esta hipótesis es plausible fisiopatológicamente pero no ha sido evaluada en esta tesis.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caracterización del PAC como representación intermedia entre el índice escalar (ODI3, T90) y la señal cruda (SpO₂ bruta) no emerge de los resultados: fue la hipótesis de diseño del proyecto desde su conceptualización en el marco teórico (Cap02). Lo que los resultados permiten confirmar es que esa hipótesis se realizó operacionalmente: las representaciones PAC son compactas (vector de aproximadamente 146 features por noche), interpretables (cada feature tiene un correlato fisiológico explícito) y predictivamente útiles (los modelos que las utilizan superan de forma consistente a los baselines). Los índices escalares comprimen demasiado: pierden estructura temporal y morfológica. La señal cruda es demasiado densa para ser interpretable clínicamente o procesable eficientemente por un modelo predictivo. Las representaciones PAC operan en el espacio que queda entre ambos extremos, y los cinco módulos del proyecto ofrecen evidencia convergente de que ese espacio contiene información diagnóstica y predictiva que los índices convencionales descartan.</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fue articulada en §9.7 y sus líneas de continuidad se desarrollan en el Capítulo 10 como parte de las conclusiones y trabajos futuros del proyecto.</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2026-05-29T04:09:10.109Z</dcterms:created>
  <dcterms:modified xsi:type="dcterms:W3CDTF">2026-05-29T04:09:10.110Z</dcterms:modified>
</cp:coreProperties>
</file>

<file path=docProps/custom.xml><?xml version="1.0" encoding="utf-8"?>
<Properties xmlns="http://schemas.openxmlformats.org/officeDocument/2006/custom-properties" xmlns:vt="http://schemas.openxmlformats.org/officeDocument/2006/docPropsVTypes"/>
</file>