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pPr>
      <w:r>
        <w:rPr>
          <w:rFonts w:ascii="Aptos" w:cs="Aptos" w:eastAsia="Aptos" w:hAnsi="Aptos"/>
          <w:b/>
          <w:bCs/>
          <w:color w:val="6B7280"/>
          <w:sz w:val="20"/>
          <w:szCs w:val="20"/>
        </w:rPr>
        <w:t xml:space="preserve">CAPÍTULO 10</w:t>
      </w:r>
    </w:p>
    <w:p>
      <w:pPr>
        <w:spacing w:after="80" w:before="0"/>
      </w:pPr>
      <w:r>
        <w:rPr>
          <w:rFonts w:ascii="Aptos" w:cs="Aptos" w:eastAsia="Aptos" w:hAnsi="Aptos"/>
          <w:b/>
          <w:bCs/>
          <w:color w:val="1E3A5F"/>
          <w:sz w:val="36"/>
          <w:szCs w:val="36"/>
        </w:rPr>
        <w:t xml:space="preserve">Conclusiones</w:t>
      </w:r>
    </w:p>
    <w:p>
      <w:pPr>
        <w:spacing w:after="400" w:before="0"/>
      </w:pPr>
      <w:r>
        <w:rPr>
          <w:rFonts w:ascii="Aptos" w:cs="Aptos" w:eastAsia="Aptos" w:hAnsi="Aptos"/>
          <w:color w:val="666666"/>
          <w:sz w:val="18"/>
          <w:szCs w:val="18"/>
        </w:rPr>
        <w:t xml:space="preserve">Versión 4  ·  Junio 2026</w:t>
      </w:r>
    </w:p>
    <w:p>
      <w:pPr>
        <w:spacing w:after="160" w:before="0" w:line="360"/>
        <w:jc w:val="both"/>
      </w:pPr>
      <w:r>
        <w:rPr>
          <w:rFonts w:ascii="Aptos" w:cs="Aptos" w:eastAsia="Aptos" w:hAnsi="Aptos"/>
          <w:b w:val="false"/>
          <w:bCs w:val="false"/>
          <w:sz w:val="24"/>
          <w:szCs w:val="24"/>
        </w:rPr>
        <w:t xml:space="preserve">El Capítulo 9 situó los resultados del Proyecto PAC en el contexto de la literatura e identificó sus contribuciones diferenciales. El presente capítulo cierra la tesis articulando su significado como conjunto: cómo los resultados responden a los seis objetivos del Cap01, qué publicaciones materializan sus contribuciones, qué trabajo futuro queda abierto y qué implica el proyecto para la ciencia de datos aplicada a señales biomédicas. El Proyecto PAC propone que la fisiología nocturna del SAOS puede representarse, a partir de oximetría portátil domiciliaria, como un sistema dinámico estructurado en tres niveles de organización: el evento individual, la noche y el paciente. La cadena EDO → Estados → Acople → Fenotipia → Predicción es la columna vertebral de ese argumento.</w:t>
      </w:r>
    </w:p>
    <w:p>
      <w:pPr>
        <w:pStyle w:val="Heading1"/>
        <w:spacing w:after="120" w:before="320"/>
      </w:pPr>
      <w:r>
        <w:rPr>
          <w:rFonts w:ascii="Aptos" w:cs="Aptos" w:eastAsia="Aptos" w:hAnsi="Aptos"/>
          <w:b/>
          <w:bCs/>
          <w:color w:val="1E3A5F"/>
          <w:sz w:val="26"/>
          <w:szCs w:val="26"/>
        </w:rPr>
        <w:t xml:space="preserve">10.1  Respuesta a los objetivos específicos</w:t>
      </w:r>
    </w:p>
    <w:p>
      <w:pPr>
        <w:spacing w:after="80" w:before="0" w:line="360"/>
        <w:jc w:val="both"/>
      </w:pPr>
      <w:r>
        <w:rPr>
          <w:rFonts w:ascii="Aptos" w:cs="Aptos" w:eastAsia="Aptos" w:hAnsi="Aptos"/>
          <w:b w:val="false"/>
          <w:bCs w:val="false"/>
          <w:sz w:val="24"/>
          <w:szCs w:val="24"/>
        </w:rPr>
        <w:t>Tabla 10.1. Respuesta a los seis objetivos específicos del Cap01 §1.2.</w:t>
      </w:r>
    </w:p>
    <w:tbl>
      <w:tblPr>
        <w:tblW w:type="dxa" w:w="8688"/>
        <w:tblBorders>
          <w:top w:val="single" w:color="auto" w:sz="4"/>
          <w:left w:val="single" w:color="auto" w:sz="4"/>
          <w:bottom w:val="single" w:color="auto" w:sz="4"/>
          <w:right w:val="single" w:color="auto" w:sz="4"/>
          <w:insideH w:val="single" w:color="auto" w:sz="4"/>
          <w:insideV w:val="single" w:color="auto" w:sz="4"/>
        </w:tblBorders>
      </w:tblPr>
      <w:tblGrid>
        <w:gridCol w:w="2400"/>
        <w:gridCol w:w="6288"/>
      </w:tblGrid>
      <w:tr>
        <w:trPr>
          <w:tblHeader/>
        </w:trPr>
        <w:tc>
          <w:tcPr>
            <w:tcW w:type="dxa" w:w="24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pPr>
              <w:spacing w:line="320"/>
            </w:pPr>
            <w:r>
              <w:rPr>
                <w:rFonts w:ascii="Aptos" w:cs="Aptos" w:eastAsia="Aptos" w:hAnsi="Aptos"/>
                <w:b/>
                <w:bCs/>
                <w:sz w:val="18"/>
                <w:szCs w:val="18"/>
              </w:rPr>
              <w:t xml:space="preserve">Objetivo específico</w:t>
            </w:r>
          </w:p>
        </w:tc>
        <w:tc>
          <w:tcPr>
            <w:tcW w:type="dxa" w:w="6288"/>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pPr>
              <w:spacing w:line="320"/>
            </w:pPr>
            <w:r>
              <w:rPr>
                <w:rFonts w:ascii="Aptos" w:cs="Aptos" w:eastAsia="Aptos" w:hAnsi="Aptos"/>
                <w:b/>
                <w:bCs/>
                <w:sz w:val="18"/>
                <w:szCs w:val="18"/>
              </w:rPr>
              <w:t xml:space="preserve">Resultado principal</w:t>
            </w:r>
          </w:p>
        </w:tc>
      </w:tr>
      <w:tr>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line="320"/>
            </w:pPr>
            <w:r>
              <w:rPr>
                <w:rFonts w:ascii="Aptos" w:cs="Aptos" w:eastAsia="Aptos" w:hAnsi="Aptos"/>
                <w:b w:val="false"/>
                <w:bCs w:val="false"/>
                <w:sz w:val="18"/>
                <w:szCs w:val="18"/>
              </w:rPr>
              <w:t xml:space="preserve">1 — Pipeline reproducible</w:t>
            </w:r>
          </w:p>
        </w:tc>
        <w:tc>
          <w:tcPr>
            <w:tcW w:type="dxa" w:w="6288"/>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line="320"/>
            </w:pPr>
            <w:r>
              <w:rPr>
                <w:rFonts w:ascii="Aptos" w:cs="Aptos" w:eastAsia="Aptos" w:hAnsi="Aptos"/>
                <w:b w:val="false"/>
                <w:bCs w:val="false"/>
                <w:sz w:val="18"/>
                <w:szCs w:val="18"/>
              </w:rPr>
              <w:t xml:space="preserve">PAC_v3 (Medallion Bronze→Gold) sobre 560 noches, 12 pacientes. NightRecordID determinístico (MD5/SHA256). 85.277 EDOs con 25+ features geométricas. Cinco tablas Gold incluyendo night_multiscale_features.parquet.</w:t>
            </w:r>
          </w:p>
        </w:tc>
      </w:tr>
      <w:tr>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line="320"/>
            </w:pPr>
            <w:r>
              <w:rPr>
                <w:rFonts w:ascii="Aptos" w:cs="Aptos" w:eastAsia="Aptos" w:hAnsi="Aptos"/>
                <w:b w:val="false"/>
                <w:bCs w:val="false"/>
                <w:sz w:val="18"/>
                <w:szCs w:val="18"/>
              </w:rPr>
              <w:t xml:space="preserve">2 — Fenotipado morfológico y ARI</w:t>
            </w:r>
          </w:p>
        </w:tc>
        <w:tc>
          <w:tcPr>
            <w:tcW w:type="dxa" w:w="6288"/>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line="320"/>
            </w:pPr>
            <w:r>
              <w:rPr>
                <w:rFonts w:ascii="Aptos" w:cs="Aptos" w:eastAsia="Aptos" w:hAnsi="Aptos"/>
                <w:b w:val="false"/>
                <w:bCs w:val="false"/>
                <w:sz w:val="18"/>
                <w:szCs w:val="18"/>
              </w:rPr>
              <w:t xml:space="preserve">K-means K = 5 (Silhouette = 0,386) sobre 85.277 curvas PCA → morfotipos C1–C5; C4+C5 = 6,0 % del corpus, carga hipóxica desproporcionada. ρ(ARI, ODI3) = 0,034; ICC ARI = 0,69/0,74; gradiente autonómico inverso (C5 = 0,423 ± 0,104).</w:t>
            </w:r>
          </w:p>
        </w:tc>
      </w:tr>
      <w:tr>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line="320"/>
            </w:pPr>
            <w:r>
              <w:rPr>
                <w:rFonts w:ascii="Aptos" w:cs="Aptos" w:eastAsia="Aptos" w:hAnsi="Aptos"/>
                <w:b w:val="false"/>
                <w:bCs w:val="false"/>
                <w:sz w:val="18"/>
                <w:szCs w:val="18"/>
              </w:rPr>
              <w:t xml:space="preserve">3 — PAC States multiescala</w:t>
            </w:r>
          </w:p>
        </w:tc>
        <w:tc>
          <w:tcPr>
            <w:tcW w:type="dxa" w:w="6288"/>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line="320"/>
            </w:pPr>
            <w:r>
              <w:rPr>
                <w:rFonts w:ascii="Aptos" w:cs="Aptos" w:eastAsia="Aptos" w:hAnsi="Aptos"/>
                <w:b w:val="false"/>
                <w:bCs w:val="false"/>
                <w:sz w:val="18"/>
                <w:szCs w:val="18"/>
              </w:rPr>
              <w:t xml:space="preserve">Clustering independiente por escala: S (K = 7), M (K = 5), L (K = 4) sobre ~519 K ventanas. Especialización funcional emergente: S4 → ODI3 (ρ = +0,691), M1 → T90 (ρ = +0,744), S5 → ARI (ρ = +0,637). 21 features nocturnas multiescala.</w:t>
            </w:r>
          </w:p>
        </w:tc>
      </w:tr>
      <w:tr>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line="320"/>
            </w:pPr>
            <w:r>
              <w:rPr>
                <w:rFonts w:ascii="Aptos" w:cs="Aptos" w:eastAsia="Aptos" w:hAnsi="Aptos"/>
                <w:b w:val="false"/>
                <w:bCs w:val="false"/>
                <w:sz w:val="18"/>
                <w:szCs w:val="18"/>
              </w:rPr>
              <w:t xml:space="preserve">4 — Acoplamiento y modelos predictivos</w:t>
            </w:r>
          </w:p>
        </w:tc>
        <w:tc>
          <w:tcPr>
            <w:tcW w:type="dxa" w:w="6288"/>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line="320"/>
            </w:pPr>
            <w:r>
              <w:rPr>
                <w:rFonts w:ascii="Aptos" w:cs="Aptos" w:eastAsia="Aptos" w:hAnsi="Aptos"/>
                <w:b w:val="false"/>
                <w:bCs w:val="false"/>
                <w:sz w:val="18"/>
                <w:szCs w:val="18"/>
              </w:rPr>
              <w:t>V de Cramér = 0,355/0,229/0,194; RR hasta 4,9× (S6). Resiliencia post-evento: 43,3 % → 12,3 % → 1,3 % (S/M/L). NB07: AUC evento = 0,878 (LightGBM), AUC noche = 0,905 (LR, agrupado; 5/8 folds evaluables). Ablación NB06: PAC States = 44,8 % de la ganancia Gini.</w:t>
            </w:r>
          </w:p>
        </w:tc>
      </w:tr>
      <w:tr>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line="320"/>
            </w:pPr>
            <w:r>
              <w:rPr>
                <w:rFonts w:ascii="Aptos" w:cs="Aptos" w:eastAsia="Aptos" w:hAnsi="Aptos"/>
                <w:b w:val="false"/>
                <w:bCs w:val="false"/>
                <w:sz w:val="18"/>
                <w:szCs w:val="18"/>
              </w:rPr>
              <w:t xml:space="preserve">5 — Aplicación clínica interactiva</w:t>
            </w:r>
          </w:p>
        </w:tc>
        <w:tc>
          <w:tcPr>
            <w:tcW w:type="dxa" w:w="6288"/>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line="320"/>
            </w:pPr>
            <w:r>
              <w:rPr>
                <w:rFonts w:ascii="Aptos" w:cs="Aptos" w:eastAsia="Aptos" w:hAnsi="Aptos"/>
                <w:b w:val="false"/>
                <w:bCs w:val="false"/>
                <w:sz w:val="18"/>
                <w:szCs w:val="18"/>
              </w:rPr>
              <w:t xml:space="preserve">PAC App (Streamlit): morfotipos C1–C5, estados PAC, Risk Score PAC 0–100 e Informe IA sobre registro individual en &lt; 60 s. Módulos core compartidos con pipeline de investigación (sin reimplementación paralela).</w:t>
            </w:r>
          </w:p>
        </w:tc>
      </w:tr>
      <w:tr>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line="320"/>
            </w:pPr>
            <w:r>
              <w:rPr>
                <w:rFonts w:ascii="Aptos" w:cs="Aptos" w:eastAsia="Aptos" w:hAnsi="Aptos"/>
                <w:b w:val="false"/>
                <w:bCs w:val="false"/>
                <w:sz w:val="18"/>
                <w:szCs w:val="18"/>
              </w:rPr>
              <w:t xml:space="preserve">6 — Predicción prospectiva</w:t>
            </w:r>
          </w:p>
        </w:tc>
        <w:tc>
          <w:tcPr>
            <w:tcW w:type="dxa" w:w="6288"/>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line="320"/>
            </w:pPr>
            <w:r>
              <w:rPr>
                <w:rFonts w:ascii="Aptos" w:cs="Aptos" w:eastAsia="Aptos" w:hAnsi="Aptos"/>
                <w:b w:val="false"/>
                <w:bCs w:val="false"/>
                <w:sz w:val="18"/>
                <w:szCs w:val="18"/>
              </w:rPr>
              <w:t xml:space="preserve">NB08: H = 5 min óptimo (AUC = 0,821 ± 0,022; Sens = 76 %; Spec = 74 %; PPV = 20 %) sobre 452.955 ventanas, LOPO-CV estricto. Lead time supera el ramp-up del estimulador por factor &gt; 3. Consistencia entre folds (SD &lt; 3 pts).</w:t>
            </w:r>
          </w:p>
        </w:tc>
      </w:tr>
    </w:tbl>
    <w:p>
      <w:pPr>
        <w:spacing w:after="200" w:before="60" w:line="300"/>
      </w:pPr>
      <w:r>
        <w:rPr>
          <w:rFonts w:ascii="Aptos" w:cs="Aptos" w:eastAsia="Aptos" w:hAnsi="Aptos"/>
          <w:b w:val="false"/>
          <w:bCs w:val="false"/>
          <w:sz w:val="17"/>
          <w:szCs w:val="17"/>
        </w:rPr>
        <w:t xml:space="preserve">Nota. ICC = coeficiente de correlación intraclase; LOPO-CV = leave-one-patient-out cross-validation; PPV = valor predictivo positivo.</w:t>
      </w:r>
    </w:p>
    <w:p>
      <w:pPr>
        <w:pStyle w:val="Heading1"/>
        <w:spacing w:after="120" w:before="320"/>
      </w:pPr>
      <w:r>
        <w:rPr>
          <w:rFonts w:ascii="Aptos" w:cs="Aptos" w:eastAsia="Aptos" w:hAnsi="Aptos"/>
          <w:b/>
          <w:bCs/>
          <w:color w:val="1E3A5F"/>
          <w:sz w:val="26"/>
          <w:szCs w:val="26"/>
        </w:rPr>
        <w:t xml:space="preserve">10.2  Contribuciones principales</w:t>
      </w:r>
    </w:p>
    <w:p>
      <w:pPr>
        <w:spacing w:after="160" w:before="0" w:line="360"/>
        <w:jc w:val="both"/>
      </w:pPr>
      <w:r>
        <w:rPr>
          <w:rFonts w:ascii="Aptos" w:cs="Aptos" w:eastAsia="Aptos" w:hAnsi="Aptos"/>
          <w:b w:val="false"/>
          <w:bCs w:val="false"/>
          <w:sz w:val="24"/>
          <w:szCs w:val="24"/>
        </w:rPr>
        <w:t xml:space="preserve">En el plano científico, los resultados ofrecen evidencia preliminar de que la oximetría portátil de un único sensor puede producir representaciones fenotípicas de la fisiología nocturna que hasta ahora requerían estudios completos de PSG o quedaban sin cuantificar. Tres aspectos son destacables por su originalidad: el ARI como dimensión nueva —no registra equivalente publicado en la literatura revisada; su ortogonalidad con el ODI3 y su estabilidad inter-noche lo posicionan como candidato para enriquecer la caracterización clínica del SAOS—; la especialización funcional emergente de los estados PAC —el resultado de que escalas distintas predicen dimensiones distintas de la severidad no estaba descrito en la literatura de análisis dinámico del sueño con sensores portátiles—; y la variabilidad intraindividual como señal diagnóstica —el fenotipo de Carga Hipóxica Alta aparece en pacientes SAOS Moderado, reposicionando la variabilidad noche a noche como dimensionalmente informativa—. Esta evidencia es consistente entre los ocho pacientes de la cohorte estricta y requiere confirmación en cohorte externa antes de generalizarse.</w:t>
      </w:r>
    </w:p>
    <w:p>
      <w:pPr>
        <w:spacing w:after="160" w:before="0" w:line="360"/>
        <w:jc w:val="both"/>
      </w:pPr>
      <w:r>
        <w:rPr>
          <w:rFonts w:ascii="Aptos" w:cs="Aptos" w:eastAsia="Aptos" w:hAnsi="Aptos"/>
          <w:b w:val="false"/>
          <w:bCs w:val="false"/>
          <w:sz w:val="24"/>
          <w:szCs w:val="24"/>
        </w:rPr>
        <w:t xml:space="preserve">En el plano metodológico, el pipeline PAC_v3 constituye un marco transferible para el análisis de señales fisiológicas continuas en trastornos del sueño. Sus aportes principales: arquitectura Medallion con trazabilidad completa por registro; control de calidad no destructivo (Silver marca y delega, no excluye); definición operacional del EDO con umbral permisivo y validación quintuplicada; validación LOPO-CV a nivel de paciente; e interpretabilidad SHAP de LightGBM. La arquitectura es directamente aplicable a cohortes de otros centros y generalizable a otros trastornos de monitoreo continuo.</w:t>
      </w:r>
    </w:p>
    <w:p>
      <w:pPr>
        <w:spacing w:after="160" w:before="0" w:line="360"/>
        <w:jc w:val="both"/>
      </w:pPr>
      <w:r>
        <w:rPr>
          <w:rFonts w:ascii="Aptos" w:cs="Aptos" w:eastAsia="Aptos" w:hAnsi="Aptos"/>
          <w:b w:val="false"/>
          <w:bCs w:val="false"/>
          <w:sz w:val="24"/>
          <w:szCs w:val="24"/>
        </w:rPr>
        <w:t xml:space="preserve">En el plano clínico y traslacional, la contribución es de dos tipos: la PAC App como prueba de concepto del flujo clínico individual, con funcionalidad técnicamente operativa sobre PAC_v3; y la evidencia analítica de la condición algorítmica mínima para una intervención terapéutica adaptativa —que la información predictiva existe, es consistente entre pacientes y tiene horizonte suficiente para superar el ramp-up del estimulador—. El paso siguiente —demostrar que actuar sobre esa información tiene efecto terapéutico— corresponde al ensayo clínico controlado descrito en §10.4.</w:t>
      </w:r>
    </w:p>
    <w:p>
      <w:pPr>
        <w:pStyle w:val="Heading1"/>
        <w:spacing w:after="120" w:before="320"/>
      </w:pPr>
      <w:r>
        <w:rPr>
          <w:rFonts w:ascii="Aptos" w:cs="Aptos" w:eastAsia="Aptos" w:hAnsi="Aptos"/>
          <w:b/>
          <w:bCs/>
          <w:color w:val="1E3A5F"/>
          <w:sz w:val="26"/>
          <w:szCs w:val="26"/>
        </w:rPr>
        <w:t xml:space="preserve">10.3  Publicaciones asociadas</w:t>
      </w:r>
    </w:p>
    <w:p>
      <w:pPr>
        <w:spacing w:after="80" w:before="0" w:line="360"/>
        <w:jc w:val="both"/>
      </w:pPr>
      <w:r>
        <w:rPr>
          <w:rFonts w:ascii="Aptos" w:cs="Aptos" w:eastAsia="Aptos" w:hAnsi="Aptos"/>
          <w:b w:val="false"/>
          <w:bCs w:val="false"/>
          <w:sz w:val="24"/>
          <w:szCs w:val="24"/>
        </w:rPr>
        <w:t xml:space="preserve">Tabla 10.2. Publicaciones asociadas al Proyecto PAC.</w:t>
      </w:r>
    </w:p>
    <w:tbl>
      <w:tblPr>
        <w:tblW w:type="dxa" w:w="8688"/>
        <w:tblBorders>
          <w:top w:val="single" w:color="auto" w:sz="4"/>
          <w:left w:val="single" w:color="auto" w:sz="4"/>
          <w:bottom w:val="single" w:color="auto" w:sz="4"/>
          <w:right w:val="single" w:color="auto" w:sz="4"/>
          <w:insideH w:val="single" w:color="auto" w:sz="4"/>
          <w:insideV w:val="single" w:color="auto" w:sz="4"/>
        </w:tblBorders>
      </w:tblPr>
      <w:tblGrid>
        <w:gridCol w:w="600"/>
        <w:gridCol w:w="3600"/>
        <w:gridCol w:w="1900"/>
        <w:gridCol w:w="2588"/>
      </w:tblGrid>
      <w:tr>
        <w:trPr>
          <w:tblHeader/>
        </w:trPr>
        <w:tc>
          <w:tcPr>
            <w:tcW w:type="dxa" w:w="6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pPr>
              <w:spacing w:line="320"/>
            </w:pPr>
            <w:r>
              <w:rPr>
                <w:rFonts w:ascii="Aptos" w:cs="Aptos" w:eastAsia="Aptos" w:hAnsi="Aptos"/>
                <w:b/>
                <w:bCs/>
                <w:sz w:val="18"/>
                <w:szCs w:val="18"/>
              </w:rPr>
              <w:t xml:space="preserve">Ref.</w:t>
            </w:r>
          </w:p>
        </w:tc>
        <w:tc>
          <w:tcPr>
            <w:tcW w:type="dxa" w:w="36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pPr>
              <w:spacing w:line="320"/>
            </w:pPr>
            <w:r>
              <w:rPr>
                <w:rFonts w:ascii="Aptos" w:cs="Aptos" w:eastAsia="Aptos" w:hAnsi="Aptos"/>
                <w:b/>
                <w:bCs/>
                <w:sz w:val="18"/>
                <w:szCs w:val="18"/>
              </w:rPr>
              <w:t xml:space="preserve">Título abreviado</w:t>
            </w:r>
          </w:p>
        </w:tc>
        <w:tc>
          <w:tcPr>
            <w:tcW w:type="dxa" w:w="19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pPr>
              <w:spacing w:line="320"/>
            </w:pPr>
            <w:r>
              <w:rPr>
                <w:rFonts w:ascii="Aptos" w:cs="Aptos" w:eastAsia="Aptos" w:hAnsi="Aptos"/>
                <w:b/>
                <w:bCs/>
                <w:sz w:val="18"/>
                <w:szCs w:val="18"/>
              </w:rPr>
              <w:t xml:space="preserve">Cubre</w:t>
            </w:r>
          </w:p>
        </w:tc>
        <w:tc>
          <w:tcPr>
            <w:tcW w:type="dxa" w:w="2588"/>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pPr>
              <w:spacing w:line="320"/>
            </w:pPr>
            <w:r>
              <w:rPr>
                <w:rFonts w:ascii="Aptos" w:cs="Aptos" w:eastAsia="Aptos" w:hAnsi="Aptos"/>
                <w:b/>
                <w:bCs/>
                <w:sz w:val="18"/>
                <w:szCs w:val="18"/>
              </w:rPr>
              <w:t xml:space="preserve">Estado</w:t>
            </w:r>
          </w:p>
        </w:tc>
      </w:tr>
      <w:tr>
        <w:tc>
          <w:tcPr>
            <w:tcW w:type="dxa" w:w="6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line="320"/>
            </w:pPr>
            <w:r>
              <w:rPr>
                <w:rFonts w:ascii="Aptos" w:cs="Aptos" w:eastAsia="Aptos" w:hAnsi="Aptos"/>
                <w:b w:val="false"/>
                <w:bCs w:val="false"/>
                <w:sz w:val="18"/>
                <w:szCs w:val="18"/>
              </w:rPr>
              <w:t xml:space="preserve">T1</w:t>
            </w:r>
          </w:p>
        </w:tc>
        <w:tc>
          <w:tcPr>
            <w:tcW w:type="dxa" w:w="36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line="320"/>
            </w:pPr>
            <w:r>
              <w:rPr>
                <w:rFonts w:ascii="Aptos" w:cs="Aptos" w:eastAsia="Aptos" w:hAnsi="Aptos"/>
                <w:b w:val="false"/>
                <w:bCs w:val="false"/>
                <w:sz w:val="18"/>
                <w:szCs w:val="18"/>
              </w:rPr>
              <w:t xml:space="preserve">Fenotipado morfológico y ARI en eventos de desaturación nocturna</w:t>
            </w:r>
          </w:p>
        </w:tc>
        <w:tc>
          <w:tcPr>
            <w:tcW w:type="dxa" w:w="19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line="320"/>
            </w:pPr>
            <w:r>
              <w:rPr>
                <w:rFonts w:ascii="Aptos" w:cs="Aptos" w:eastAsia="Aptos" w:hAnsi="Aptos"/>
                <w:b w:val="false"/>
                <w:bCs w:val="false"/>
                <w:sz w:val="18"/>
                <w:szCs w:val="18"/>
              </w:rPr>
              <w:t xml:space="preserve">NB01–NB02</w:t>
            </w:r>
          </w:p>
        </w:tc>
        <w:tc>
          <w:tcPr>
            <w:tcW w:type="dxa" w:w="2588"/>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line="320"/>
            </w:pPr>
            <w:r>
              <w:rPr>
                <w:rFonts w:ascii="Aptos" w:cs="Aptos" w:eastAsia="Aptos" w:hAnsi="Aptos"/>
                <w:b w:val="false"/>
                <w:bCs w:val="false"/>
                <w:sz w:val="18"/>
                <w:szCs w:val="18"/>
              </w:rPr>
              <w:t>Enviado (junio 2026)</w:t>
            </w:r>
          </w:p>
        </w:tc>
      </w:tr>
      <w:tr>
        <w:tc>
          <w:tcPr>
            <w:tcW w:type="dxa" w:w="6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line="320"/>
            </w:pPr>
            <w:r>
              <w:rPr>
                <w:rFonts w:ascii="Aptos" w:cs="Aptos" w:eastAsia="Aptos" w:hAnsi="Aptos"/>
                <w:b w:val="false"/>
                <w:bCs w:val="false"/>
                <w:sz w:val="18"/>
                <w:szCs w:val="18"/>
              </w:rPr>
              <w:t xml:space="preserve">T2</w:t>
            </w:r>
          </w:p>
        </w:tc>
        <w:tc>
          <w:tcPr>
            <w:tcW w:type="dxa" w:w="36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line="320"/>
            </w:pPr>
            <w:r>
              <w:rPr>
                <w:rFonts w:ascii="Aptos" w:cs="Aptos" w:eastAsia="Aptos" w:hAnsi="Aptos"/>
                <w:b w:val="false"/>
                <w:bCs w:val="false"/>
                <w:sz w:val="18"/>
                <w:szCs w:val="18"/>
              </w:rPr>
              <w:t xml:space="preserve">PAC States: estados dinámicos multiescala de la fisiología nocturna en SAOS</w:t>
            </w:r>
          </w:p>
        </w:tc>
        <w:tc>
          <w:tcPr>
            <w:tcW w:type="dxa" w:w="19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line="320"/>
            </w:pPr>
            <w:r>
              <w:rPr>
                <w:rFonts w:ascii="Aptos" w:cs="Aptos" w:eastAsia="Aptos" w:hAnsi="Aptos"/>
                <w:b w:val="false"/>
                <w:bCs w:val="false"/>
                <w:sz w:val="18"/>
                <w:szCs w:val="18"/>
              </w:rPr>
              <w:t xml:space="preserve">NB03–NB04</w:t>
            </w:r>
          </w:p>
        </w:tc>
        <w:tc>
          <w:tcPr>
            <w:tcW w:type="dxa" w:w="2588"/>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line="320"/>
            </w:pPr>
            <w:r>
              <w:rPr>
                <w:rFonts w:ascii="Aptos" w:cs="Aptos" w:eastAsia="Aptos" w:hAnsi="Aptos"/>
                <w:b w:val="false"/>
                <w:bCs w:val="false"/>
                <w:sz w:val="18"/>
                <w:szCs w:val="18"/>
              </w:rPr>
              <w:t xml:space="preserve">En preparación</w:t>
            </w:r>
          </w:p>
        </w:tc>
      </w:tr>
      <w:tr>
        <w:tc>
          <w:tcPr>
            <w:tcW w:type="dxa" w:w="6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line="320"/>
            </w:pPr>
            <w:r>
              <w:rPr>
                <w:rFonts w:ascii="Aptos" w:cs="Aptos" w:eastAsia="Aptos" w:hAnsi="Aptos"/>
                <w:b w:val="false"/>
                <w:bCs w:val="false"/>
                <w:sz w:val="18"/>
                <w:szCs w:val="18"/>
              </w:rPr>
              <w:t xml:space="preserve">T3</w:t>
            </w:r>
          </w:p>
        </w:tc>
        <w:tc>
          <w:tcPr>
            <w:tcW w:type="dxa" w:w="36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line="320"/>
            </w:pPr>
            <w:r>
              <w:rPr>
                <w:rFonts w:ascii="Aptos" w:cs="Aptos" w:eastAsia="Aptos" w:hAnsi="Aptos"/>
                <w:b w:val="false"/>
                <w:bCs w:val="false"/>
                <w:sz w:val="18"/>
                <w:szCs w:val="18"/>
              </w:rPr>
              <w:t xml:space="preserve">Acoplamiento morfotipo–estado y modelos predictivos basados en PAC</w:t>
            </w:r>
          </w:p>
        </w:tc>
        <w:tc>
          <w:tcPr>
            <w:tcW w:type="dxa" w:w="19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line="320"/>
            </w:pPr>
            <w:r>
              <w:rPr>
                <w:rFonts w:ascii="Aptos" w:cs="Aptos" w:eastAsia="Aptos" w:hAnsi="Aptos"/>
                <w:b w:val="false"/>
                <w:bCs w:val="false"/>
                <w:sz w:val="18"/>
                <w:szCs w:val="18"/>
              </w:rPr>
              <w:t xml:space="preserve">NB05–NB07</w:t>
            </w:r>
          </w:p>
        </w:tc>
        <w:tc>
          <w:tcPr>
            <w:tcW w:type="dxa" w:w="2588"/>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line="320"/>
            </w:pPr>
            <w:r>
              <w:rPr>
                <w:rFonts w:ascii="Aptos" w:cs="Aptos" w:eastAsia="Aptos" w:hAnsi="Aptos"/>
                <w:b w:val="false"/>
                <w:bCs w:val="false"/>
                <w:sz w:val="18"/>
                <w:szCs w:val="18"/>
              </w:rPr>
              <w:t xml:space="preserve">En preparación</w:t>
            </w:r>
          </w:p>
        </w:tc>
      </w:tr>
      <w:tr>
        <w:tc>
          <w:tcPr>
            <w:tcW w:type="dxa" w:w="6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line="320"/>
            </w:pPr>
            <w:r>
              <w:rPr>
                <w:rFonts w:ascii="Aptos" w:cs="Aptos" w:eastAsia="Aptos" w:hAnsi="Aptos"/>
                <w:b w:val="false"/>
                <w:bCs w:val="false"/>
                <w:sz w:val="18"/>
                <w:szCs w:val="18"/>
              </w:rPr>
              <w:t xml:space="preserve">T4</w:t>
            </w:r>
          </w:p>
        </w:tc>
        <w:tc>
          <w:tcPr>
            <w:tcW w:type="dxa" w:w="36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line="320"/>
            </w:pPr>
            <w:r>
              <w:rPr>
                <w:rFonts w:ascii="Aptos" w:cs="Aptos" w:eastAsia="Aptos" w:hAnsi="Aptos"/>
                <w:b w:val="false"/>
                <w:bCs w:val="false"/>
                <w:sz w:val="18"/>
                <w:szCs w:val="18"/>
              </w:rPr>
              <w:t xml:space="preserve">Predicción prospectiva de EDO severo con horizonte temporal clínico</w:t>
            </w:r>
          </w:p>
        </w:tc>
        <w:tc>
          <w:tcPr>
            <w:tcW w:type="dxa" w:w="19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line="320"/>
            </w:pPr>
            <w:r>
              <w:rPr>
                <w:rFonts w:ascii="Aptos" w:cs="Aptos" w:eastAsia="Aptos" w:hAnsi="Aptos"/>
                <w:b w:val="false"/>
                <w:bCs w:val="false"/>
                <w:sz w:val="18"/>
                <w:szCs w:val="18"/>
              </w:rPr>
              <w:t xml:space="preserve">NB08</w:t>
            </w:r>
          </w:p>
        </w:tc>
        <w:tc>
          <w:tcPr>
            <w:tcW w:type="dxa" w:w="2588"/>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line="320"/>
            </w:pPr>
            <w:r>
              <w:rPr>
                <w:rFonts w:ascii="Aptos" w:cs="Aptos" w:eastAsia="Aptos" w:hAnsi="Aptos"/>
                <w:b w:val="false"/>
                <w:bCs w:val="false"/>
                <w:sz w:val="18"/>
                <w:szCs w:val="18"/>
              </w:rPr>
              <w:t xml:space="preserve">En preparación</w:t>
            </w:r>
          </w:p>
        </w:tc>
      </w:tr>
    </w:tbl>
    <w:p>
      <w:pPr>
        <w:spacing w:after="200" w:before="60" w:line="300"/>
      </w:pPr>
      <w:r>
        <w:rPr>
          <w:rFonts w:ascii="Aptos" w:cs="Aptos" w:eastAsia="Aptos" w:hAnsi="Aptos"/>
          <w:b w:val="false"/>
          <w:bCs w:val="false"/>
          <w:sz w:val="17"/>
          <w:szCs w:val="17"/>
        </w:rPr>
        <w:t>Nota. T1 (enviado a publicación, junio 2026): contiene la descripción técnica definitiva del SOMNI 6000 y la fórmula canónica del ARI. T2–T4: en preparación avanzada.</w:t>
      </w:r>
    </w:p>
    <w:p>
      <w:pPr>
        <w:pStyle w:val="Heading1"/>
        <w:spacing w:after="120" w:before="320"/>
      </w:pPr>
      <w:r>
        <w:rPr>
          <w:rFonts w:ascii="Aptos" w:cs="Aptos" w:eastAsia="Aptos" w:hAnsi="Aptos"/>
          <w:b/>
          <w:bCs/>
          <w:color w:val="1E3A5F"/>
          <w:sz w:val="26"/>
          <w:szCs w:val="26"/>
        </w:rPr>
        <w:t xml:space="preserve">10.4  Trabajo futuro</w:t>
      </w:r>
    </w:p>
    <w:p>
      <w:pPr>
        <w:spacing w:after="160" w:before="0" w:line="360"/>
        <w:jc w:val="both"/>
      </w:pPr>
      <w:r>
        <w:rPr>
          <w:rFonts w:ascii="Aptos" w:cs="Aptos" w:eastAsia="Aptos" w:hAnsi="Aptos"/>
          <w:b w:val="false"/>
          <w:bCs w:val="false"/>
          <w:sz w:val="24"/>
          <w:szCs w:val="24"/>
        </w:rPr>
        <w:t xml:space="preserve">La agenda de trabajo futuro se organiza en ocho líneas:</w:t>
      </w:r>
    </w:p>
    <w:p>
      <w:pPr>
        <w:spacing w:after="120" w:before="0" w:line="360"/>
        <w:ind w:left="360"/>
        <w:jc w:val="both"/>
      </w:pPr>
      <w:r>
        <w:rPr>
          <w:rFonts w:ascii="Aptos" w:cs="Aptos" w:eastAsia="Aptos" w:hAnsi="Aptos"/>
          <w:b w:val="false"/>
          <w:bCs w:val="false"/>
          <w:sz w:val="24"/>
          <w:szCs w:val="24"/>
        </w:rPr>
        <w:t xml:space="preserve">(1)  Cohorte externa con PSG simultánea (30–50 pacientes): validar morfotipos C1–C5 y estados PAC, cuantificar concordancia con estadios AASM y resolver la circularidad del clustering.</w:t>
      </w:r>
    </w:p>
    <w:p>
      <w:pPr>
        <w:spacing w:after="120" w:before="0" w:line="360"/>
        <w:ind w:left="360"/>
        <w:jc w:val="both"/>
      </w:pPr>
      <w:r>
        <w:rPr>
          <w:rFonts w:ascii="Aptos" w:cs="Aptos" w:eastAsia="Aptos" w:hAnsi="Aptos"/>
          <w:b w:val="false"/>
          <w:bCs w:val="false"/>
          <w:sz w:val="24"/>
          <w:szCs w:val="24"/>
        </w:rPr>
        <w:t xml:space="preserve">(2)  Reconstrucción de clusters PAC within-fold: reentrenar los modelos no supervisados dentro de cada fold LOPO-CV para eliminar la contaminación entre entrenamiento y evaluación.</w:t>
      </w:r>
    </w:p>
    <w:p>
      <w:pPr>
        <w:spacing w:after="120" w:before="0" w:line="360"/>
        <w:ind w:left="360"/>
        <w:jc w:val="both"/>
      </w:pPr>
      <w:r>
        <w:rPr>
          <w:rFonts w:ascii="Aptos" w:cs="Aptos" w:eastAsia="Aptos" w:hAnsi="Aptos"/>
          <w:b w:val="false"/>
          <w:bCs w:val="false"/>
          <w:sz w:val="24"/>
          <w:szCs w:val="24"/>
        </w:rPr>
        <w:t xml:space="preserve">(3)  Calibración de probabilidades: aplicar regresión logística isotónica o Platt scaling sobre el conjunto de validación de cada fold para producir probabilidades interpretables en términos absolutos.</w:t>
      </w:r>
    </w:p>
    <w:p>
      <w:pPr>
        <w:spacing w:after="120" w:before="0" w:line="360"/>
        <w:ind w:left="360"/>
        <w:jc w:val="both"/>
      </w:pPr>
      <w:r>
        <w:rPr>
          <w:rFonts w:ascii="Aptos" w:cs="Aptos" w:eastAsia="Aptos" w:hAnsi="Aptos"/>
          <w:b w:val="false"/>
          <w:bCs w:val="false"/>
          <w:sz w:val="24"/>
          <w:szCs w:val="24"/>
        </w:rPr>
        <w:t xml:space="preserve">(4)  Ensayo clínico controlado: 30–50 pacientes con SAOS moderado-severo confirmado por PSG basal; fase de rodaje de 7–14 noches sin estimulación para calibración individual; asignación aleatoria a estimulación activa vs. placebo durante 4–8 semanas; evaluación de ODI3, T90 y carga hipóxica como desenlaces primarios.</w:t>
      </w:r>
    </w:p>
    <w:p>
      <w:pPr>
        <w:spacing w:after="120" w:before="0" w:line="360"/>
        <w:ind w:left="360"/>
        <w:jc w:val="both"/>
      </w:pPr>
      <w:r>
        <w:rPr>
          <w:rFonts w:ascii="Aptos" w:cs="Aptos" w:eastAsia="Aptos" w:hAnsi="Aptos"/>
          <w:b w:val="false"/>
          <w:bCs w:val="false"/>
          <w:sz w:val="24"/>
          <w:szCs w:val="24"/>
        </w:rPr>
        <w:t xml:space="preserve">(5)  Calibración individualizada del umbral de activación: las primeras noches sin estimulación permiten estimar la prevalencia individual de eventos severos y ajustar el umbral de Youden, resolviendo la heterogeneidad inter-paciente (variación 20×).</w:t>
      </w:r>
    </w:p>
    <w:p>
      <w:pPr>
        <w:spacing w:after="120" w:before="0" w:line="360"/>
        <w:ind w:left="360"/>
        <w:jc w:val="both"/>
      </w:pPr>
      <w:r>
        <w:rPr>
          <w:rFonts w:ascii="Aptos" w:cs="Aptos" w:eastAsia="Aptos" w:hAnsi="Aptos"/>
          <w:b w:val="false"/>
          <w:bCs w:val="false"/>
          <w:sz w:val="24"/>
          <w:szCs w:val="24"/>
        </w:rPr>
        <w:t xml:space="preserve">(6)  Señales adicionales: temperatura periférica, impedancia transtorácica y HRV de alta resolución para enriquecer el vector de features sin modificar la arquitectura del pipeline.</w:t>
      </w:r>
    </w:p>
    <w:p>
      <w:pPr>
        <w:spacing w:after="120" w:before="0" w:line="360"/>
        <w:ind w:left="360"/>
        <w:jc w:val="both"/>
      </w:pPr>
      <w:r>
        <w:rPr>
          <w:rFonts w:ascii="Aptos" w:cs="Aptos" w:eastAsia="Aptos" w:hAnsi="Aptos"/>
          <w:b w:val="false"/>
          <w:bCs w:val="false"/>
          <w:sz w:val="24"/>
          <w:szCs w:val="24"/>
        </w:rPr>
        <w:t xml:space="preserve">(7)  Extensión a otras poblaciones y trastornos: síndrome de piernas inquietas, insuficiencia cardíaca con apnea central y narcolepsia con actigrafía, aprovechando que la metodología PAC es agnóstica al diagnóstico.</w:t>
      </w:r>
    </w:p>
    <w:p>
      <w:pPr>
        <w:spacing w:after="120" w:before="0" w:line="360"/>
        <w:ind w:left="360"/>
        <w:jc w:val="both"/>
      </w:pPr>
      <w:r>
        <w:rPr>
          <w:rFonts w:ascii="Aptos" w:cs="Aptos" w:eastAsia="Aptos" w:hAnsi="Aptos"/>
          <w:b w:val="false"/>
          <w:bCs w:val="false"/>
          <w:sz w:val="24"/>
          <w:szCs w:val="24"/>
        </w:rPr>
        <w:t xml:space="preserve">(8)  Modelos secuenciales nativos para NB08 (LSTM, TCN, Transformers): mejorar el AUC en horizontes cortos (H = 2 min) donde la forma de la señal previa al evento contiene más información que las features agregadas.</w:t>
      </w:r>
    </w:p>
    <w:p>
      <w:pPr>
        <w:spacing w:after="160" w:before="0" w:line="360"/>
        <w:jc w:val="both"/>
      </w:pPr>
      <w:r>
        <w:rPr>
          <w:rFonts w:ascii="Aptos" w:cs="Aptos" w:eastAsia="Aptos" w:hAnsi="Aptos"/>
          <w:b w:val="false"/>
          <w:bCs w:val="false"/>
          <w:sz w:val="24"/>
          <w:szCs w:val="24"/>
        </w:rPr>
        <w:t xml:space="preserve">▸ Figura complementaria en Anexo: Fig. 10.1 (cadena analítica del Proyecto PAC: del evento individual a la terapia adaptativa domiciliaria).</w:t>
      </w:r>
    </w:p>
    <w:p>
      <w:pPr>
        <w:pStyle w:val="Heading1"/>
        <w:spacing w:after="120" w:before="320"/>
      </w:pPr>
      <w:r>
        <w:rPr>
          <w:rFonts w:ascii="Aptos" w:cs="Aptos" w:eastAsia="Aptos" w:hAnsi="Aptos"/>
          <w:b/>
          <w:bCs/>
          <w:color w:val="1E3A5F"/>
          <w:sz w:val="26"/>
          <w:szCs w:val="26"/>
        </w:rPr>
        <w:t xml:space="preserve">10.5  Reflexión final</w:t>
      </w:r>
    </w:p>
    <w:p>
      <w:pPr>
        <w:spacing w:after="160" w:before="0" w:line="360"/>
        <w:jc w:val="both"/>
      </w:pPr>
      <w:r>
        <w:rPr>
          <w:rFonts w:ascii="Aptos" w:cs="Aptos" w:eastAsia="Aptos" w:hAnsi="Aptos"/>
          <w:b w:val="false"/>
          <w:bCs w:val="false"/>
          <w:sz w:val="24"/>
          <w:szCs w:val="24"/>
        </w:rPr>
        <w:t xml:space="preserve">El Proyecto PAC nació de una pregunta clínica concreta: ¿puede un único sensor portátil en el dedo de un paciente, sin infraestructura hospitalaria y sin técnico especializado, generar información suficiente para caracterizar la fisiología nocturna del SAOS con la granularidad necesaria para orientar una intervención terapéutica adaptativa?</w:t>
      </w:r>
    </w:p>
    <w:p>
      <w:pPr>
        <w:spacing w:after="160" w:before="0" w:line="360"/>
        <w:jc w:val="both"/>
      </w:pPr>
      <w:r>
        <w:rPr>
          <w:rFonts w:ascii="Aptos" w:cs="Aptos" w:eastAsia="Aptos" w:hAnsi="Aptos"/>
          <w:b w:val="false"/>
          <w:bCs w:val="false"/>
          <w:sz w:val="24"/>
          <w:szCs w:val="24"/>
        </w:rPr>
        <w:t>La respuesta que esta tesis ofrece es condicional y precisa. Condicional porque lo que el trabajo establece es la factibilidad analítica, no la eficacia terapéutica: que la información predictiva existe y tiene horizonte suficiente, no que actuar sobre ella produce el efecto clínico esperado. Precisa porque las condiciones que permiten esa respuesta están identificadas con exactitud: una cohorte de 12 pacientes, 560 noches de calidad, validación LOPO-CV estricta, y un sistema de representaciones multiescala construido sobre tres señales a 1 Hz. La pregunta con la que abrió esta tesis tiene ahora una respuesta parcial y verificable: sí, un único sensor puede hacerlo —dentro de esas condiciones, con esas métricas, para esa cohorte—, y las fronteras de esa respuesta están suficientemente delimitadas como para diseñar el paso siguiente.</w:t>
      </w:r>
    </w:p>
    <w:p>
      <w:pPr>
        <w:spacing w:after="160" w:before="0" w:line="360"/>
        <w:jc w:val="both"/>
      </w:pPr>
      <w:r>
        <w:rPr>
          <w:rFonts w:ascii="Aptos" w:cs="Aptos" w:eastAsia="Aptos" w:hAnsi="Aptos"/>
          <w:b w:val="false"/>
          <w:bCs w:val="false"/>
          <w:sz w:val="24"/>
          <w:szCs w:val="24"/>
        </w:rPr>
        <w:t xml:space="preserve">Dentro de esas condiciones, el proyecto demuestra que la fisiología nocturna tiene estructura —que no es un flujo aleatorio de hipoxemias sino un sistema dinámico organizado en estados, con morfotipos, con acoplamiento y con inercia. Esa estructura es la que hace posible la predicción: si la fisiología fuera azarosa, el estado en el momento T no diría nada sobre el momento T + 5 min. El hecho de que lo diga, con AUC = 0,821 y consistencia entre los ocho pacientes, es la evidencia de que la estructura existe y puede capturarse con oximetría domiciliaria.</w:t>
      </w:r>
    </w:p>
    <w:p>
      <w:pPr>
        <w:spacing w:after="160" w:before="0" w:line="360"/>
        <w:jc w:val="both"/>
      </w:pPr>
      <w:r>
        <w:rPr>
          <w:rFonts w:ascii="Aptos" w:cs="Aptos" w:eastAsia="Aptos" w:hAnsi="Aptos"/>
          <w:b w:val="false"/>
          <w:bCs w:val="false"/>
          <w:sz w:val="24"/>
          <w:szCs w:val="24"/>
        </w:rPr>
        <w:t xml:space="preserve">Desde el punto de vista de la Maestría en Explotación de Datos y Gestión del Conocimiento, el proyecto ilustra que las contribuciones más relevantes de la ciencia de datos aplicada a problemas biomédicos no son necesariamente los modelos de mayor AUC, sino las representaciones que permiten hacer las preguntas correctas. El ARI no es un modelo: es una pregunta —¿cuánta respuesta autonómica genera este evento por unidad de caída de SpO₂?— que antes no tenía respuesta cuantitativa sobre oximetría domiciliaria. Los estados PAC no son un clasificador: son un vocabulario que permite describir la noche como trayectoria en lugar de como promedio. La contribución metodológica central de esta tesis es, en ese sentido, de naturaleza representacional: proponer el nivel intermedio entre el índice escalar y la señal cruda como el espacio en el que la clínica y la predicción pueden dialogar productivamente. Lo que queda por hacer es, en parte, técnico y, en parte, conceptual: explorar si la arquitectura PAC, aplicada a otras poblaciones y otros trastornos de monitoreo continuo, produce representaciones igualmente estructuradas. La metodología para responderla está, en sus elementos esenciales, contenida en el pipeline PAC_v3.</w:t>
      </w:r>
    </w:p>
    <w:p>
      <w:pPr>
        <w:spacing w:after="160" w:before="0" w:line="360"/>
        <w:jc w:val="both"/>
      </w:pPr>
      <w:r>
        <w:rPr>
          <w:rFonts w:ascii="Aptos" w:cs="Aptos" w:eastAsia="Aptos" w:hAnsi="Aptos"/>
          <w:b w:val="false"/>
          <w:bCs w:val="false"/>
          <w:sz w:val="24"/>
          <w:szCs w:val="24"/>
        </w:rPr>
        <w:t xml:space="preserve">Bajo la lupa del Proyecto PAC, una noche de sueño deja de ser un número: se convierte en una trayectoria con memoria. Cada evento tiene forma propia, la respuesta del organismo a cada uno de ellos es un rasgo del individuo y no del índice, y la noche entera despliega una arquitectura dinámica que —en algunos pacientes— el sistema podría aprender a leer con suficiente anticipación para intervenir antes de que llegue a su punto más oscuro.</w:t>
      </w:r>
    </w:p>
    <w:sectPr>
      <w:headerReference w:type="default" r:id="rId7"/>
      <w:footerReference w:type="default" r:id="rId8"/>
      <w:pgSz w:w="11906" w:h="16838" w:orient="portrait"/>
      <w:pgMar w:top="1701" w:right="1418" w:bottom="1701" w:left="1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1D5DB" w:sz="4" w:space="4"/>
      </w:pBdr>
      <w:spacing w:before="120"/>
      <w:jc w:val="right"/>
    </w:pPr>
    <w:r>
      <w:rPr>
        <w:rFonts w:ascii="Aptos" w:cs="Aptos" w:eastAsia="Aptos" w:hAnsi="Aptos"/>
        <w:color w:val="6B7280"/>
        <w:sz w:val="16"/>
        <w:szCs w:val="16"/>
      </w:rPr>
      <w:t xml:space="preserve">Roberto Inza · Universidad Austral · 2026   </w:t>
    </w:r>
    <w:r>
      <w:rPr>
        <w:rFonts w:ascii="Aptos" w:cs="Aptos" w:eastAsia="Aptos" w:hAnsi="Aptos"/>
        <w:color w:val="6B72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E3A5F" w:sz="4" w:space="4"/>
      </w:pBdr>
      <w:tabs>
        <w:tab w:val="right" w:pos="9026"/>
      </w:tabs>
    </w:pPr>
    <w:r>
      <w:rPr>
        <w:rFonts w:ascii="Aptos" w:cs="Aptos" w:eastAsia="Aptos" w:hAnsi="Aptos"/>
        <w:color w:val="6B7280"/>
        <w:sz w:val="16"/>
        <w:szCs w:val="16"/>
      </w:rPr>
      <w:t xml:space="preserve">Proyecto PAC · Tesis de Maestría</w:t>
    </w:r>
    <w:r>
      <w:rPr>
        <w:sz w:val="16"/>
        <w:szCs w:val="16"/>
      </w:rPr>
      <w:t xml:space="preserve">	</w:t>
    </w:r>
    <w:r>
      <w:rPr>
        <w:rFonts w:ascii="Aptos" w:cs="Aptos" w:eastAsia="Aptos" w:hAnsi="Aptos"/>
        <w:color w:val="6B7280"/>
        <w:sz w:val="16"/>
        <w:szCs w:val="16"/>
      </w:rPr>
      <w:t xml:space="preserve">Capítulo 10 — Conclusiones  (v4)</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ptos" w:cs="Aptos" w:eastAsia="Aptos" w:hAnsi="Aptos"/>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2026-06-07T01:43:22.811Z</dcterms:created>
  <dcterms:modified xsi:type="dcterms:W3CDTF">2026-06-07T01:43:22.812Z</dcterms:modified>
</cp:coreProperties>
</file>

<file path=docProps/custom.xml><?xml version="1.0" encoding="utf-8"?>
<Properties xmlns="http://schemas.openxmlformats.org/officeDocument/2006/custom-properties" xmlns:vt="http://schemas.openxmlformats.org/officeDocument/2006/docPropsVTypes"/>
</file>