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6B7280"/>
          <w:sz w:val="20"/>
          <w:szCs w:val="20"/>
        </w:rPr>
        <w:t xml:space="preserve">CAPÍTULO 10</w:t>
      </w:r>
    </w:p>
    <w:p>
      <w:pPr>
        <w:spacing w:after="120" w:before="0"/>
      </w:pPr>
      <w:r>
        <w:rPr>
          <w:rFonts w:ascii="Arial" w:cs="Arial" w:eastAsia="Arial" w:hAnsi="Arial"/>
          <w:b/>
          <w:bCs/>
          <w:color w:val="1E3A5F"/>
          <w:sz w:val="36"/>
          <w:szCs w:val="36"/>
        </w:rPr>
        <w:t xml:space="preserve">Conclusiones</w:t>
      </w:r>
    </w:p>
    <w:p>
      <w:pPr>
        <w:pBdr>
          <w:bottom w:val="single" w:color="D0D8E4" w:sz="4" w:space="8"/>
        </w:pBdr>
        <w:spacing w:after="400" w:before="0"/>
      </w:pPr>
      <w:r>
        <w:rPr>
          <w:rFonts w:ascii="Arial" w:cs="Arial" w:eastAsia="Arial" w:hAnsi="Arial"/>
          <w:color w:val="6B7280"/>
          <w:sz w:val="18"/>
          <w:szCs w:val="18"/>
        </w:rPr>
        <w:t xml:space="preserve">Versión 5  ·  Mayo 2026</w:t>
      </w:r>
    </w:p>
    <w:p>
      <w:pPr>
        <w:spacing w:after="80"/>
      </w:pPr>
      <w:r>
        <w:rPr>
          <w:rFonts w:ascii="Arial" w:cs="Arial" w:eastAsia="Arial" w:hAnsi="Arial"/>
        </w:rPr>
        <w:t xml:space="preserve"/>
      </w:r>
    </w:p>
    <w:p>
      <w:pPr>
        <w:spacing w:after="160" w:line="276"/>
        <w:jc w:val="both"/>
      </w:pPr>
      <w:r>
        <w:rPr>
          <w:rFonts w:ascii="Arial" w:cs="Arial" w:eastAsia="Arial" w:hAnsi="Arial"/>
        </w:rPr>
        <w:t xml:space="preserve">El Capítulo 9 situó los resultados del Proyecto PAC en el contexto de la literatura: identificó sus precedentes, articuló sus contribuciones diferenciales y delimitó sus alcances con precisión. El presente capítulo cierra la tesis sintetizando lo que el proyecto establece, cómo sus resultados responden a los objetivos planteados en el Cap01, qué publicaciones materializan sus contribuciones y qué trabajo futuro queda abierto.</w:t>
      </w:r>
    </w:p>
    <w:p>
      <w:pPr>
        <w:spacing w:after="160" w:line="276"/>
        <w:jc w:val="both"/>
      </w:pPr>
      <w:r>
        <w:rPr>
          <w:rFonts w:ascii="Arial" w:cs="Arial" w:eastAsia="Arial" w:hAnsi="Arial"/>
        </w:rPr>
        <w:t xml:space="preserve">La función de las conclusiones no es reiterar los resultados numéricos —esos están en los capítulos 4 al 8— sino articular su significado como conjunto. El Proyecto PAC propone que la fisiología nocturna del SAOS puede representarse, a partir de oximetría portátil domiciliaria, como un sistema dinámico estructurado con tres niveles de organización: el evento individual, la noche y el paciente. Esa representación —el sistema PAC— no es un fin en sí misma sino un instrumento: su valor reside en que transporta información diagnóstica y predictiva con horizonte clínicamente útil, y en que ese horizonte podría ser suficiente para sustentar una intervención terapéutica adaptativa. La cadena EDO → Estados → Acople → Fenotipia → Predicción es la columna vertebral de ese argumento.</w:t>
      </w:r>
    </w:p>
    <w:p>
      <w:pPr>
        <w:pStyle w:val="Heading1"/>
        <w:pBdr>
          <w:bottom w:val="single" w:color="D0D8E4" w:sz="4" w:space="4"/>
        </w:pBdr>
        <w:spacing w:after="160" w:before="320"/>
      </w:pPr>
      <w:r>
        <w:rPr>
          <w:rFonts w:ascii="Arial" w:cs="Arial" w:eastAsia="Arial" w:hAnsi="Arial"/>
          <w:b/>
          <w:bCs/>
          <w:color w:val="1E3A5F"/>
          <w:sz w:val="28"/>
          <w:szCs w:val="28"/>
        </w:rPr>
        <w:t xml:space="preserve">10.1  Respuesta a los objetivos específicos</w:t>
      </w:r>
    </w:p>
    <w:p>
      <w:pPr>
        <w:spacing w:after="160" w:line="276"/>
        <w:jc w:val="both"/>
      </w:pPr>
      <w:r>
        <w:rPr>
          <w:rFonts w:ascii="Arial" w:cs="Arial" w:eastAsia="Arial" w:hAnsi="Arial"/>
        </w:rPr>
        <w:t xml:space="preserve">El Cap01 §1.6 formuló seis objetivos específicos que descomponen el objetivo general del trabajo. Se presenta a continuación la síntesis de la respuesta que los capítulos de resultados ofrecen a cada uno de ellos.</w:t>
      </w:r>
    </w:p>
    <w:p>
      <w:pPr>
        <w:pStyle w:val="Heading3"/>
        <w:spacing w:after="80" w:before="180"/>
      </w:pPr>
      <w:r>
        <w:rPr>
          <w:rFonts w:ascii="Arial" w:cs="Arial" w:eastAsia="Arial" w:hAnsi="Arial"/>
          <w:b/>
          <w:bCs/>
          <w:color w:val="1E3A5F"/>
          <w:sz w:val="22"/>
          <w:szCs w:val="22"/>
        </w:rPr>
        <w:t xml:space="preserve">Objetivo 1 — Pipeline de procesamiento reproducible</w:t>
      </w:r>
    </w:p>
    <w:p>
      <w:pPr>
        <w:spacing w:after="160" w:line="276"/>
        <w:jc w:val="both"/>
      </w:pPr>
      <w:r>
        <w:rPr>
          <w:rFonts w:ascii="Arial" w:cs="Arial" w:eastAsia="Arial" w:hAnsi="Arial"/>
          <w:b/>
          <w:bCs/>
        </w:rPr>
        <w:t xml:space="preserve">Enunciado: </w:t>
      </w:r>
      <w:r>
        <w:rPr>
          <w:rFonts w:ascii="Arial" w:cs="Arial" w:eastAsia="Arial" w:hAnsi="Arial"/>
        </w:rPr>
        <w:t xml:space="preserve">diseñar e implementar un pipeline de procesamiento reproducible que transforme registros crudos de oximetría domiciliaria en representaciones estructuradas y trazables.</w:t>
      </w:r>
    </w:p>
    <w:p>
      <w:pPr>
        <w:spacing w:after="160" w:line="276"/>
        <w:jc w:val="both"/>
      </w:pPr>
      <w:r>
        <w:rPr>
          <w:rFonts w:ascii="Arial" w:cs="Arial" w:eastAsia="Arial" w:hAnsi="Arial"/>
          <w:b/>
          <w:bCs/>
        </w:rPr>
        <w:t xml:space="preserve">Respuesta: </w:t>
      </w:r>
      <w:r>
        <w:rPr>
          <w:rFonts w:ascii="Arial" w:cs="Arial" w:eastAsia="Arial" w:hAnsi="Arial"/>
        </w:rPr>
        <w:t xml:space="preserve">el pipeline PAC_v3 implementa la arquitectura Medallion Bronze → Silver → Events → Gold sobre 560 noches de 12 pacientes, con trazabilidad por NightRecordID (hash MD5/SHA256), control de calidad de señal en la capa Silver (cobertura ≥ 90 %, rango fisiológico, duración mínima) y cinco tablas Gold (events.parquet, events_curves.parquet, states.parquet, nights.parquet, patients.parquet). El pipeline detecta 85.277 EDOs válidos con 25+ features geométricas por evento y construye los estados PAC a tres escalas. El código está documentado y diseñado para extenderse a cohortes externas. Objetivo </w:t>
      </w:r>
      <w:r>
        <w:rPr>
          <w:rFonts w:ascii="Arial" w:cs="Arial" w:eastAsia="Arial" w:hAnsi="Arial"/>
          <w:b/>
          <w:bCs/>
        </w:rPr>
        <w:t xml:space="preserve">alcanzado</w:t>
      </w:r>
      <w:r>
        <w:rPr>
          <w:rFonts w:ascii="Arial" w:cs="Arial" w:eastAsia="Arial" w:hAnsi="Arial"/>
        </w:rPr>
        <w:t xml:space="preserve">.</w:t>
      </w:r>
    </w:p>
    <w:p>
      <w:pPr>
        <w:pStyle w:val="Heading3"/>
        <w:spacing w:after="80" w:before="180"/>
      </w:pPr>
      <w:r>
        <w:rPr>
          <w:rFonts w:ascii="Arial" w:cs="Arial" w:eastAsia="Arial" w:hAnsi="Arial"/>
          <w:b/>
          <w:bCs/>
          <w:color w:val="1E3A5F"/>
          <w:sz w:val="22"/>
          <w:szCs w:val="22"/>
        </w:rPr>
        <w:t xml:space="preserve">Objetivo 2 — Fenotipado morfológico y ARI</w:t>
      </w:r>
    </w:p>
    <w:p>
      <w:pPr>
        <w:spacing w:after="160" w:line="276"/>
        <w:jc w:val="both"/>
      </w:pPr>
      <w:r>
        <w:rPr>
          <w:rFonts w:ascii="Arial" w:cs="Arial" w:eastAsia="Arial" w:hAnsi="Arial"/>
          <w:b/>
          <w:bCs/>
        </w:rPr>
        <w:t xml:space="preserve">Enunciado: </w:t>
      </w:r>
      <w:r>
        <w:rPr>
          <w:rFonts w:ascii="Arial" w:cs="Arial" w:eastAsia="Arial" w:hAnsi="Arial"/>
        </w:rPr>
        <w:t xml:space="preserve">caracterizar morfológicamente los EDOs mediante agrupamiento no supervisado sobre curvas de saturación, e introducir el ARI como dimensión complementaria y parcialmente independiente.</w:t>
      </w:r>
    </w:p>
    <w:p>
      <w:pPr>
        <w:spacing w:after="160" w:line="276"/>
        <w:jc w:val="both"/>
      </w:pPr>
      <w:r>
        <w:rPr>
          <w:rFonts w:ascii="Arial" w:cs="Arial" w:eastAsia="Arial" w:hAnsi="Arial"/>
          <w:b/>
          <w:bCs/>
        </w:rPr>
        <w:t xml:space="preserve">Respuesta: </w:t>
      </w:r>
      <w:r>
        <w:rPr>
          <w:rFonts w:ascii="Arial" w:cs="Arial" w:eastAsia="Arial" w:hAnsi="Arial"/>
        </w:rPr>
        <w:t xml:space="preserve">el Cap04 aplica PCA (PC1 = 62,9 %) seguido de K-means (K = 5, Silhouette = 0,386) sobre 84.248 curvas normalizadas de 30 puntos, obteniendo cinco morfotipos C1–C5 con severidad creciente; C4+C5 representan el 6,1 % del corpus. El ARI —definido formalmente e introducido en este trabajo— presenta ortogonalidad con el ODI3 (ρ = 0,034) y estabilidad inter-noche (ICC = 0,69/0,74). El hallazgo del gradiente autonómico inverso (C5 tiene el ARI más bajo, 0,423 ± 0,104) es coherente con la literatura de adaptación autonómica a la hipoxemia crónica. Objetivo </w:t>
      </w:r>
      <w:r>
        <w:rPr>
          <w:rFonts w:ascii="Arial" w:cs="Arial" w:eastAsia="Arial" w:hAnsi="Arial"/>
          <w:b/>
          <w:bCs/>
        </w:rPr>
        <w:t xml:space="preserve">alcanzado</w:t>
      </w:r>
      <w:r>
        <w:rPr>
          <w:rFonts w:ascii="Arial" w:cs="Arial" w:eastAsia="Arial" w:hAnsi="Arial"/>
        </w:rPr>
        <w:t xml:space="preserve">.</w:t>
      </w:r>
    </w:p>
    <w:p>
      <w:pPr>
        <w:pStyle w:val="Heading3"/>
        <w:spacing w:after="80" w:before="180"/>
      </w:pPr>
      <w:r>
        <w:rPr>
          <w:rFonts w:ascii="Arial" w:cs="Arial" w:eastAsia="Arial" w:hAnsi="Arial"/>
          <w:b/>
          <w:bCs/>
          <w:color w:val="1E3A5F"/>
          <w:sz w:val="22"/>
          <w:szCs w:val="22"/>
        </w:rPr>
        <w:t xml:space="preserve">Objetivo 3 — PAC States multiescala</w:t>
      </w:r>
    </w:p>
    <w:p>
      <w:pPr>
        <w:spacing w:after="160" w:line="276"/>
        <w:jc w:val="both"/>
      </w:pPr>
      <w:r>
        <w:rPr>
          <w:rFonts w:ascii="Arial" w:cs="Arial" w:eastAsia="Arial" w:hAnsi="Arial"/>
          <w:b/>
          <w:bCs/>
        </w:rPr>
        <w:t xml:space="preserve">Enunciado: </w:t>
      </w:r>
      <w:r>
        <w:rPr>
          <w:rFonts w:ascii="Arial" w:cs="Arial" w:eastAsia="Arial" w:hAnsi="Arial"/>
        </w:rPr>
        <w:t xml:space="preserve">desarrollar y validar el sistema de estados PAC multiescala como representación del sueño como secuencia de estados dinámicos a tres escalas temporales.</w:t>
      </w:r>
    </w:p>
    <w:p>
      <w:pPr>
        <w:spacing w:after="160" w:line="276"/>
        <w:jc w:val="both"/>
      </w:pPr>
      <w:r>
        <w:rPr>
          <w:rFonts w:ascii="Arial" w:cs="Arial" w:eastAsia="Arial" w:hAnsi="Arial"/>
          <w:b/>
          <w:bCs/>
        </w:rPr>
        <w:t xml:space="preserve">Respuesta: </w:t>
      </w:r>
      <w:r>
        <w:rPr>
          <w:rFonts w:ascii="Arial" w:cs="Arial" w:eastAsia="Arial" w:hAnsi="Arial"/>
        </w:rPr>
        <w:t xml:space="preserve">el Cap05 construye el sistema PAC States a tres escalas: S (30 s, K = 7), M (5 min, K = 5) y L (30 min, K = 4), sobre ~519 K ventanas de 12 pacientes. La especialización funcional es el hallazgo central: S4 es el mejor predictor de frecuencia (ρ ODI3 = +0,691), M1 de carga hipóxica (ρ T90 = +0,744) y L0 de arquitectura global (ρ T90 = +0,705). El vector de 21 features PAC multiescala captura la estructura dinámica de la noche de forma compacta e interpretable. Objetivo </w:t>
      </w:r>
      <w:r>
        <w:rPr>
          <w:rFonts w:ascii="Arial" w:cs="Arial" w:eastAsia="Arial" w:hAnsi="Arial"/>
          <w:b/>
          <w:bCs/>
        </w:rPr>
        <w:t xml:space="preserve">alcanzado</w:t>
      </w:r>
      <w:r>
        <w:rPr>
          <w:rFonts w:ascii="Arial" w:cs="Arial" w:eastAsia="Arial" w:hAnsi="Arial"/>
        </w:rPr>
        <w:t xml:space="preserve">.</w:t>
      </w:r>
    </w:p>
    <w:p>
      <w:pPr>
        <w:pStyle w:val="Heading3"/>
        <w:spacing w:after="80" w:before="180"/>
      </w:pPr>
      <w:r>
        <w:rPr>
          <w:rFonts w:ascii="Arial" w:cs="Arial" w:eastAsia="Arial" w:hAnsi="Arial"/>
          <w:b/>
          <w:bCs/>
          <w:color w:val="1E3A5F"/>
          <w:sz w:val="22"/>
          <w:szCs w:val="22"/>
        </w:rPr>
        <w:t xml:space="preserve">Objetivo 4 — Acoplamiento y modelos predictivos</w:t>
      </w:r>
    </w:p>
    <w:p>
      <w:pPr>
        <w:spacing w:after="160" w:line="276"/>
        <w:jc w:val="both"/>
      </w:pPr>
      <w:r>
        <w:rPr>
          <w:rFonts w:ascii="Arial" w:cs="Arial" w:eastAsia="Arial" w:hAnsi="Arial"/>
          <w:b/>
          <w:bCs/>
        </w:rPr>
        <w:t xml:space="preserve">Enunciado: </w:t>
      </w:r>
      <w:r>
        <w:rPr>
          <w:rFonts w:ascii="Arial" w:cs="Arial" w:eastAsia="Arial" w:hAnsi="Arial"/>
        </w:rPr>
        <w:t xml:space="preserve">cuantificar el acoplamiento entre los estados dinámicos y la severidad de los eventos, y construir modelos predictivos validados mediante LOPO-CV.</w:t>
      </w:r>
    </w:p>
    <w:p>
      <w:pPr>
        <w:spacing w:after="160" w:line="276"/>
        <w:jc w:val="both"/>
      </w:pPr>
      <w:r>
        <w:rPr>
          <w:rFonts w:ascii="Arial" w:cs="Arial" w:eastAsia="Arial" w:hAnsi="Arial"/>
          <w:b/>
          <w:bCs/>
        </w:rPr>
        <w:t xml:space="preserve">Respuesta: </w:t>
      </w:r>
      <w:r>
        <w:rPr>
          <w:rFonts w:ascii="Arial" w:cs="Arial" w:eastAsia="Arial" w:hAnsi="Arial"/>
        </w:rPr>
        <w:t xml:space="preserve">el Cap06 cuantifica el acoplamiento morfotipo–estado con V de Cramér = 0,355 (S) / 0,229 (M) / 0,194 (L) (NB05, 83.892 eventos) y riesgo relativo hasta 4,9× para el estado S6. Los modelos NB07 obtienen AUC = 0,878 (LightGBM) para predicción de evento severo y AUC = 0,905 (LR) para clasificación de riesgo nocturno, con validación LOPO-CV estricta (n efectivo = 8 pacientes). La ablación por bloque (NB06) confirma que los PAC States son el bloque de mayor contribución predictiva (44,75 % de la ganancia). Objetivo </w:t>
      </w:r>
      <w:r>
        <w:rPr>
          <w:rFonts w:ascii="Arial" w:cs="Arial" w:eastAsia="Arial" w:hAnsi="Arial"/>
          <w:b/>
          <w:bCs/>
        </w:rPr>
        <w:t xml:space="preserve">alcanzado</w:t>
      </w:r>
      <w:r>
        <w:rPr>
          <w:rFonts w:ascii="Arial" w:cs="Arial" w:eastAsia="Arial" w:hAnsi="Arial"/>
        </w:rPr>
        <w:t xml:space="preserve">.</w:t>
      </w:r>
    </w:p>
    <w:p>
      <w:pPr>
        <w:pStyle w:val="Heading3"/>
        <w:spacing w:after="80" w:before="180"/>
      </w:pPr>
      <w:r>
        <w:rPr>
          <w:rFonts w:ascii="Arial" w:cs="Arial" w:eastAsia="Arial" w:hAnsi="Arial"/>
          <w:b/>
          <w:bCs/>
          <w:color w:val="1E3A5F"/>
          <w:sz w:val="22"/>
          <w:szCs w:val="22"/>
        </w:rPr>
        <w:t xml:space="preserve">Objetivo 5 — Aplicación clínica interactiva</w:t>
      </w:r>
    </w:p>
    <w:p>
      <w:pPr>
        <w:spacing w:after="160" w:line="276"/>
        <w:jc w:val="both"/>
      </w:pPr>
      <w:r>
        <w:rPr>
          <w:rFonts w:ascii="Arial" w:cs="Arial" w:eastAsia="Arial" w:hAnsi="Arial"/>
          <w:b/>
          <w:bCs/>
        </w:rPr>
        <w:t xml:space="preserve">Enunciado: </w:t>
      </w:r>
      <w:r>
        <w:rPr>
          <w:rFonts w:ascii="Arial" w:cs="Arial" w:eastAsia="Arial" w:hAnsi="Arial"/>
        </w:rPr>
        <w:t xml:space="preserve">desarrollar una aplicación clínica interactiva que ejecute el pipeline de inferencia sobre registros domiciliarios nuevos.</w:t>
      </w:r>
    </w:p>
    <w:p>
      <w:pPr>
        <w:spacing w:after="160" w:line="276"/>
        <w:jc w:val="both"/>
      </w:pPr>
      <w:r>
        <w:rPr>
          <w:rFonts w:ascii="Arial" w:cs="Arial" w:eastAsia="Arial" w:hAnsi="Arial"/>
          <w:b/>
          <w:bCs/>
        </w:rPr>
        <w:t xml:space="preserve">Respuesta: </w:t>
      </w:r>
      <w:r>
        <w:rPr>
          <w:rFonts w:ascii="Arial" w:cs="Arial" w:eastAsia="Arial" w:hAnsi="Arial"/>
        </w:rPr>
        <w:t xml:space="preserve">la aplicación clínica interactiva fue diseñada como interfaz de inferencia sobre registros domiciliarios del SOMNI 6000, con pipeline de procesamiento automatizado y generación de informes asistida por IA. Su implementación y documentación académica corresponden al Cap07, cuya redacción forma parte de la continuación inmediata del proyecto. La funcionalidad central (inferencia morfotipo + estados PAC + score de riesgo sobre una noche nueva) está operativa sobre el pipeline PAC_v3. Objetivo </w:t>
      </w:r>
      <w:r>
        <w:rPr>
          <w:rFonts w:ascii="Arial" w:cs="Arial" w:eastAsia="Arial" w:hAnsi="Arial"/>
          <w:b/>
          <w:bCs/>
        </w:rPr>
        <w:t xml:space="preserve">alcanzado en su implementación funcional</w:t>
      </w:r>
      <w:r>
        <w:rPr>
          <w:rFonts w:ascii="Arial" w:cs="Arial" w:eastAsia="Arial" w:hAnsi="Arial"/>
        </w:rPr>
        <w:t xml:space="preserve">; documentación académica (Cap07) pendiente.</w:t>
      </w:r>
    </w:p>
    <w:p>
      <w:pPr>
        <w:pStyle w:val="Heading3"/>
        <w:spacing w:after="80" w:before="180"/>
      </w:pPr>
      <w:r>
        <w:rPr>
          <w:rFonts w:ascii="Arial" w:cs="Arial" w:eastAsia="Arial" w:hAnsi="Arial"/>
          <w:b/>
          <w:bCs/>
          <w:color w:val="1E3A5F"/>
          <w:sz w:val="22"/>
          <w:szCs w:val="22"/>
        </w:rPr>
        <w:t xml:space="preserve">Objetivo 6 — Predicción prospectiva con margen temporal</w:t>
      </w:r>
    </w:p>
    <w:p>
      <w:pPr>
        <w:spacing w:after="160" w:line="276"/>
        <w:jc w:val="both"/>
      </w:pPr>
      <w:r>
        <w:rPr>
          <w:rFonts w:ascii="Arial" w:cs="Arial" w:eastAsia="Arial" w:hAnsi="Arial"/>
          <w:b/>
          <w:bCs/>
        </w:rPr>
        <w:t xml:space="preserve">Enunciado: </w:t>
      </w:r>
      <w:r>
        <w:rPr>
          <w:rFonts w:ascii="Arial" w:cs="Arial" w:eastAsia="Arial" w:hAnsi="Arial"/>
        </w:rPr>
        <w:t xml:space="preserve">implementar y evaluar un sistema de predicción prospectiva orientado a estimar la ocurrencia de eventos severos con antelación suficiente como base para intervenciones preventivas.</w:t>
      </w:r>
    </w:p>
    <w:p>
      <w:pPr>
        <w:spacing w:after="160" w:line="276"/>
        <w:jc w:val="both"/>
      </w:pPr>
      <w:r>
        <w:rPr>
          <w:rFonts w:ascii="Arial" w:cs="Arial" w:eastAsia="Arial" w:hAnsi="Arial"/>
          <w:b/>
          <w:bCs/>
        </w:rPr>
        <w:t xml:space="preserve">Respuesta: </w:t>
      </w:r>
      <w:r>
        <w:rPr>
          <w:rFonts w:ascii="Arial" w:cs="Arial" w:eastAsia="Arial" w:hAnsi="Arial"/>
        </w:rPr>
        <w:t xml:space="preserve">el Cap08 (NB08) evalúa la predicción prospectiva sobre 452.955 ventanas de 30 s × 4 horizontes, 8 pacientes, LOPO-CV estricto. El horizonte óptimo H = 5 min obtiene AUC = 0,821 ± 0,022, Sensibilidad = 76 %, Especificidad = 74 %, PPV = 20 %. El lead time supera el ramp-up fisiológico del estimulador (~90 s) por un factor &gt; 3. La consistencia entre folds (SD &lt; 3 pts) valida que el resultado no es un artefacto de la distribución de clase. Objetivo </w:t>
      </w:r>
      <w:r>
        <w:rPr>
          <w:rFonts w:ascii="Arial" w:cs="Arial" w:eastAsia="Arial" w:hAnsi="Arial"/>
          <w:b/>
          <w:bCs/>
        </w:rPr>
        <w:t xml:space="preserve">alcanzado con las limitaciones de calibración y tamaño muestral discutidas en §8.7 y §9.8</w:t>
      </w:r>
      <w:r>
        <w:rPr>
          <w:rFonts w:ascii="Arial" w:cs="Arial" w:eastAsia="Arial" w:hAnsi="Arial"/>
        </w:rPr>
        <w:t xml:space="preserve">.</w:t>
      </w:r>
    </w:p>
    <w:p>
      <w:pPr>
        <w:pStyle w:val="Heading1"/>
        <w:pBdr>
          <w:bottom w:val="single" w:color="D0D8E4" w:sz="4" w:space="4"/>
        </w:pBdr>
        <w:spacing w:after="160" w:before="320"/>
      </w:pPr>
      <w:r>
        <w:rPr>
          <w:rFonts w:ascii="Arial" w:cs="Arial" w:eastAsia="Arial" w:hAnsi="Arial"/>
          <w:b/>
          <w:bCs/>
          <w:color w:val="1E3A5F"/>
          <w:sz w:val="28"/>
          <w:szCs w:val="28"/>
        </w:rPr>
        <w:t xml:space="preserve">10.2  Contribuciones principales</w:t>
      </w:r>
    </w:p>
    <w:p>
      <w:pPr>
        <w:spacing w:after="160" w:line="276"/>
        <w:jc w:val="both"/>
      </w:pPr>
      <w:r>
        <w:rPr>
          <w:rFonts w:ascii="Arial" w:cs="Arial" w:eastAsia="Arial" w:hAnsi="Arial"/>
        </w:rPr>
        <w:t xml:space="preserve">Las contribuciones del Proyecto PAC se articulan en tres planos que corresponden a los tres niveles de impacto descritos en el Cap01 §1.4. La siguiente tabla sintetiza la contribución central en cada plano.</w:t>
      </w:r>
    </w:p>
    <w:p>
      <w:pPr>
        <w:spacing w:after="80"/>
      </w:pPr>
      <w:r>
        <w:rPr>
          <w:rFonts w:ascii="Arial" w:cs="Arial" w:eastAsia="Arial" w:hAnsi="Arial"/>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tcBorders>
              <w:top w:val="single" w:color="C8D4E8" w:sz="1"/>
              <w:left w:val="single" w:color="C8D4E8" w:sz="1"/>
              <w:bottom w:val="single" w:color="C8D4E8" w:sz="1"/>
              <w:right w:val="single" w:color="C8D4E8"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Plano</w:t>
            </w:r>
          </w:p>
        </w:tc>
        <w:tc>
          <w:tcPr>
            <w:tcW w:type="dxa" w:w="3000"/>
            <w:tcBorders>
              <w:top w:val="single" w:color="C8D4E8" w:sz="1"/>
              <w:left w:val="single" w:color="C8D4E8" w:sz="1"/>
              <w:bottom w:val="single" w:color="C8D4E8" w:sz="1"/>
              <w:right w:val="single" w:color="C8D4E8"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Contribución central</w:t>
            </w:r>
          </w:p>
        </w:tc>
      </w:tr>
      <w:tr>
        <w:tc>
          <w:tcPr>
            <w:tcW w:type="dxa" w:w="3000"/>
            <w:tcBorders>
              <w:top w:val="single" w:color="C8D4E8" w:sz="1"/>
              <w:left w:val="single" w:color="C8D4E8" w:sz="1"/>
              <w:bottom w:val="single" w:color="C8D4E8" w:sz="1"/>
              <w:right w:val="single" w:color="C8D4E8" w:sz="1"/>
            </w:tcBorders>
            <w:shd w:fill="EBF0F7" w:val="clear"/>
            <w:tcMar>
              <w:top w:type="dxa" w:w="100"/>
              <w:left w:type="dxa" w:w="140"/>
              <w:bottom w:type="dxa" w:w="100"/>
              <w:right w:type="dxa" w:w="140"/>
            </w:tcMar>
          </w:tcPr>
          <w:p>
            <w:pPr>
              <w:jc w:val="center"/>
            </w:pPr>
            <w:r>
              <w:rPr>
                <w:rFonts w:ascii="Arial" w:cs="Arial" w:eastAsia="Arial" w:hAnsi="Arial"/>
                <w:b/>
                <w:bCs/>
                <w:color w:val="1E3A5F"/>
                <w:sz w:val="20"/>
                <w:szCs w:val="20"/>
              </w:rPr>
              <w:t xml:space="preserve">Científico</w:t>
            </w:r>
          </w:p>
        </w:tc>
        <w:tc>
          <w:tcPr>
            <w:tcW w:type="dxa" w:w="6500"/>
            <w:tcBorders>
              <w:top w:val="single" w:color="C8D4E8" w:sz="1"/>
              <w:left w:val="single" w:color="C8D4E8" w:sz="1"/>
              <w:bottom w:val="single" w:color="C8D4E8" w:sz="1"/>
              <w:right w:val="single" w:color="C8D4E8" w:sz="1"/>
            </w:tcBorders>
            <w:tcMar>
              <w:top w:type="dxa" w:w="100"/>
              <w:left w:type="dxa" w:w="140"/>
              <w:bottom w:type="dxa" w:w="100"/>
              <w:right w:type="dxa" w:w="140"/>
            </w:tcMar>
          </w:tcPr>
          <w:p>
            <w:pPr>
              <w:jc w:val="both"/>
            </w:pPr>
            <w:r>
              <w:rPr>
                <w:rFonts w:ascii="Arial" w:cs="Arial" w:eastAsia="Arial" w:hAnsi="Arial"/>
                <w:sz w:val="20"/>
                <w:szCs w:val="20"/>
              </w:rPr>
              <w:t xml:space="preserve">Evidencia preliminar (n = 8, LOPO-CV) de que la oximetría portátil de un único sensor podría producir representaciones fenotípicas de complejidad comparable para determinadas dimensiones fisiológicas (morfología de evento, dinámica nocturna, reactividad autonómica); e introducción del ARI como dimensión ortogonal e independiente de los índices clásicos de severidad.</w:t>
            </w:r>
          </w:p>
        </w:tc>
      </w:tr>
      <w:tr>
        <w:tc>
          <w:tcPr>
            <w:tcW w:type="dxa" w:w="3000"/>
            <w:tcBorders>
              <w:top w:val="single" w:color="C8D4E8" w:sz="1"/>
              <w:left w:val="single" w:color="C8D4E8" w:sz="1"/>
              <w:bottom w:val="single" w:color="C8D4E8" w:sz="1"/>
              <w:right w:val="single" w:color="C8D4E8" w:sz="1"/>
            </w:tcBorders>
            <w:shd w:fill="EBF0F7" w:val="clear"/>
            <w:tcMar>
              <w:top w:type="dxa" w:w="100"/>
              <w:left w:type="dxa" w:w="140"/>
              <w:bottom w:type="dxa" w:w="100"/>
              <w:right w:type="dxa" w:w="140"/>
            </w:tcMar>
          </w:tcPr>
          <w:p>
            <w:pPr>
              <w:jc w:val="center"/>
            </w:pPr>
            <w:r>
              <w:rPr>
                <w:rFonts w:ascii="Arial" w:cs="Arial" w:eastAsia="Arial" w:hAnsi="Arial"/>
                <w:b/>
                <w:bCs/>
                <w:color w:val="1E3A5F"/>
                <w:sz w:val="20"/>
                <w:szCs w:val="20"/>
              </w:rPr>
              <w:t xml:space="preserve">Metodológico</w:t>
            </w:r>
          </w:p>
        </w:tc>
        <w:tc>
          <w:tcPr>
            <w:tcW w:type="dxa" w:w="6500"/>
            <w:tcBorders>
              <w:top w:val="single" w:color="C8D4E8" w:sz="1"/>
              <w:left w:val="single" w:color="C8D4E8" w:sz="1"/>
              <w:bottom w:val="single" w:color="C8D4E8" w:sz="1"/>
              <w:right w:val="single" w:color="C8D4E8" w:sz="1"/>
            </w:tcBorders>
            <w:tcMar>
              <w:top w:type="dxa" w:w="100"/>
              <w:left w:type="dxa" w:w="140"/>
              <w:bottom w:type="dxa" w:w="100"/>
              <w:right w:type="dxa" w:w="140"/>
            </w:tcMar>
          </w:tcPr>
          <w:p>
            <w:pPr>
              <w:jc w:val="both"/>
            </w:pPr>
            <w:r>
              <w:rPr>
                <w:rFonts w:ascii="Arial" w:cs="Arial" w:eastAsia="Arial" w:hAnsi="Arial"/>
                <w:sz w:val="20"/>
                <w:szCs w:val="20"/>
              </w:rPr>
              <w:t xml:space="preserve">Pipeline PAC_v3 reproducible y trazable (arquitectura Medallion Bronze→Gold) con detección de 85.277 EDOs, 25+ features por evento, sistema de estados a tres escalas (S/M/L) y validación estricta LOPO-CV. Marco transferible a otras cohortes y trastornos de monitoreo continuo.</w:t>
            </w:r>
          </w:p>
        </w:tc>
      </w:tr>
      <w:tr>
        <w:tc>
          <w:tcPr>
            <w:tcW w:type="dxa" w:w="3000"/>
            <w:tcBorders>
              <w:top w:val="single" w:color="C8D4E8" w:sz="1"/>
              <w:left w:val="single" w:color="C8D4E8" w:sz="1"/>
              <w:bottom w:val="single" w:color="C8D4E8" w:sz="1"/>
              <w:right w:val="single" w:color="C8D4E8" w:sz="1"/>
            </w:tcBorders>
            <w:shd w:fill="EBF0F7" w:val="clear"/>
            <w:tcMar>
              <w:top w:type="dxa" w:w="100"/>
              <w:left w:type="dxa" w:w="140"/>
              <w:bottom w:type="dxa" w:w="100"/>
              <w:right w:type="dxa" w:w="140"/>
            </w:tcMar>
          </w:tcPr>
          <w:p>
            <w:pPr>
              <w:jc w:val="center"/>
            </w:pPr>
            <w:r>
              <w:rPr>
                <w:rFonts w:ascii="Arial" w:cs="Arial" w:eastAsia="Arial" w:hAnsi="Arial"/>
                <w:b/>
                <w:bCs/>
                <w:color w:val="1E3A5F"/>
                <w:sz w:val="20"/>
                <w:szCs w:val="20"/>
              </w:rPr>
              <w:t xml:space="preserve">Clínico / traslacional</w:t>
            </w:r>
          </w:p>
        </w:tc>
        <w:tc>
          <w:tcPr>
            <w:tcW w:type="dxa" w:w="6500"/>
            <w:tcBorders>
              <w:top w:val="single" w:color="C8D4E8" w:sz="1"/>
              <w:left w:val="single" w:color="C8D4E8" w:sz="1"/>
              <w:bottom w:val="single" w:color="C8D4E8" w:sz="1"/>
              <w:right w:val="single" w:color="C8D4E8" w:sz="1"/>
            </w:tcBorders>
            <w:tcMar>
              <w:top w:type="dxa" w:w="100"/>
              <w:left w:type="dxa" w:w="140"/>
              <w:bottom w:type="dxa" w:w="100"/>
              <w:right w:type="dxa" w:w="140"/>
            </w:tcMar>
          </w:tcPr>
          <w:p>
            <w:pPr>
              <w:jc w:val="both"/>
            </w:pPr>
            <w:r>
              <w:rPr>
                <w:rFonts w:ascii="Arial" w:cs="Arial" w:eastAsia="Arial" w:hAnsi="Arial"/>
                <w:sz w:val="20"/>
                <w:szCs w:val="20"/>
              </w:rPr>
              <w:t xml:space="preserve">Evidencia analítica de la condición algorítmica mínima para una intervención adaptativa: AUC = 0,821 ± 0,022 con H = 5 min de lead time, superando el ramp-up fisiológico del estimulador transcutáneo del SOMNI 6000 por un factor &gt; 3. Base para el diseño del ensayo clínico controlado.</w:t>
            </w:r>
          </w:p>
        </w:tc>
      </w:tr>
    </w:tbl>
    <w:p>
      <w:pPr>
        <w:spacing w:after="80"/>
      </w:pPr>
      <w:r>
        <w:rPr>
          <w:rFonts w:ascii="Arial" w:cs="Arial" w:eastAsia="Arial" w:hAnsi="Arial"/>
        </w:rPr>
        <w:t xml:space="preserve"/>
      </w:r>
    </w:p>
    <w:p>
      <w:pPr>
        <w:pStyle w:val="Heading2"/>
        <w:spacing w:after="120" w:before="240"/>
      </w:pPr>
      <w:r>
        <w:rPr>
          <w:rFonts w:ascii="Arial" w:cs="Arial" w:eastAsia="Arial" w:hAnsi="Arial"/>
          <w:b/>
          <w:bCs/>
          <w:color w:val="1E3A5F"/>
          <w:sz w:val="24"/>
          <w:szCs w:val="24"/>
        </w:rPr>
        <w:t xml:space="preserve">10.2.1  Plano científico</w:t>
      </w:r>
    </w:p>
    <w:p>
      <w:pPr>
        <w:spacing w:after="160" w:line="276"/>
        <w:jc w:val="both"/>
      </w:pPr>
      <w:r>
        <w:rPr>
          <w:rFonts w:ascii="Arial" w:cs="Arial" w:eastAsia="Arial" w:hAnsi="Arial"/>
        </w:rPr>
        <w:t xml:space="preserve">La contribución científica central es que los resultados ofrecen evidencia preliminar de que la oximetría portátil de un único sensor —sin PSG, sin EEG, sin técnico especializado— podría producir representaciones fenotípicas de la fisiología nocturna que hasta ahora requerían estudios completos o quedaban sin cuantificar. Esta evidencia, consistente entre los ocho pacientes de la cohorte estricta y robusta a la validación LOPO-CV, requiere confirmación en cohorte externa antes de generalizarse. Tres aspectos específicos son destacables por su originalidad:</w:t>
      </w:r>
    </w:p>
    <w:p>
      <w:pPr>
        <w:spacing w:after="160" w:line="276"/>
        <w:jc w:val="both"/>
      </w:pPr>
      <w:r>
        <w:rPr>
          <w:rFonts w:ascii="Arial" w:cs="Arial" w:eastAsia="Arial" w:hAnsi="Arial"/>
          <w:b/>
          <w:bCs/>
        </w:rPr>
        <w:t xml:space="preserve">El ARI como dimensión nueva. </w:t>
      </w:r>
      <w:r>
        <w:rPr>
          <w:rFonts w:ascii="Arial" w:cs="Arial" w:eastAsia="Arial" w:hAnsi="Arial"/>
        </w:rPr>
        <w:t xml:space="preserve">El Índice de Reactividad Autonómica no tiene precedente publicado en la literatura de oximetría nocturna. Su ortogonalidad con el ODI3 (ρ = 0,034) y su estabilidad inter-noche (ICC = 0,69) lo posicionan como candidato para enriquecer la caracterización clínica del SAOS más allá de los índices de frecuencia y carga hipóxica.</w:t>
      </w:r>
    </w:p>
    <w:p>
      <w:pPr>
        <w:spacing w:after="160" w:line="276"/>
        <w:jc w:val="both"/>
      </w:pPr>
      <w:r>
        <w:rPr>
          <w:rFonts w:ascii="Arial" w:cs="Arial" w:eastAsia="Arial" w:hAnsi="Arial"/>
          <w:b/>
          <w:bCs/>
        </w:rPr>
        <w:t xml:space="preserve">La especialización funcional de los estados PAC. </w:t>
      </w:r>
      <w:r>
        <w:rPr>
          <w:rFonts w:ascii="Arial" w:cs="Arial" w:eastAsia="Arial" w:hAnsi="Arial"/>
        </w:rPr>
        <w:t xml:space="preserve">El resultado de que escalas temporales distintas predicen dimensiones distintas de la severidad nocturna —frecuencia, carga hipóxica, reactividad autonómica— no estaba descrito en la literatura de análisis dinámico del sueño con sensores portátiles. Propone que la evaluación del SAOS requiere representaciones multiescala, no índices globales.</w:t>
      </w:r>
    </w:p>
    <w:p>
      <w:pPr>
        <w:spacing w:after="160" w:line="276"/>
        <w:jc w:val="both"/>
      </w:pPr>
      <w:r>
        <w:rPr>
          <w:rFonts w:ascii="Arial" w:cs="Arial" w:eastAsia="Arial" w:hAnsi="Arial"/>
          <w:b/>
          <w:bCs/>
        </w:rPr>
        <w:t xml:space="preserve">La variabilidad intraindividual como señal diagnóstica. </w:t>
      </w:r>
      <w:r>
        <w:rPr>
          <w:rFonts w:ascii="Arial" w:cs="Arial" w:eastAsia="Arial" w:hAnsi="Arial"/>
        </w:rPr>
        <w:t xml:space="preserve">La demostración de que el fenotipo de Carga Hipóxica Alta aparece con frecuencia en pacientes clasificados como SAOS moderado reposiciona la variabilidad noche a noche como dimensión diagnósticamente informativa: las peores noches de un paciente moderado pueden tener impacto cardiovascular que el índice promedio no refleja.</w:t>
      </w:r>
    </w:p>
    <w:p>
      <w:pPr>
        <w:pStyle w:val="Heading2"/>
        <w:spacing w:after="120" w:before="240"/>
      </w:pPr>
      <w:r>
        <w:rPr>
          <w:rFonts w:ascii="Arial" w:cs="Arial" w:eastAsia="Arial" w:hAnsi="Arial"/>
          <w:b/>
          <w:bCs/>
          <w:color w:val="1E3A5F"/>
          <w:sz w:val="24"/>
          <w:szCs w:val="24"/>
        </w:rPr>
        <w:t xml:space="preserve">10.2.2  Plano metodológico</w:t>
      </w:r>
    </w:p>
    <w:p>
      <w:pPr>
        <w:spacing w:after="160" w:line="276"/>
        <w:jc w:val="both"/>
      </w:pPr>
      <w:r>
        <w:rPr>
          <w:rFonts w:ascii="Arial" w:cs="Arial" w:eastAsia="Arial" w:hAnsi="Arial"/>
        </w:rPr>
        <w:t xml:space="preserve">El pipeline PAC_v3 constituye un marco metodológico transferible para el análisis de señales fisiológicas continuas en trastornos del sueño y más allá. Sus principales aportes metodológicos son: la arquitectura Medallion con trazabilidad completa por registro; el protocolo de control de calidad de señal no destructivo (Silver no excluye, marca y delega); la definición operacional del EDO con umbral permisivo y validación quintuplicada (ODI2, ODI3, ODI4, T90, T88); la validación cruzada estricta a nivel de paciente (LOPO-CV) que previene la inflación del AUC por dependencia longitudinal; y el uso de SHAP para descomposición de importancia de features en LightGBM.</w:t>
      </w:r>
    </w:p>
    <w:p>
      <w:pPr>
        <w:spacing w:after="160" w:line="276"/>
        <w:jc w:val="both"/>
      </w:pPr>
      <w:r>
        <w:rPr>
          <w:rFonts w:ascii="Arial" w:cs="Arial" w:eastAsia="Arial" w:hAnsi="Arial"/>
        </w:rPr>
        <w:t xml:space="preserve">Estos aportes son directamente aplicables a cohortes de otros centros con registros de oximetría domiciliaria, y generalizables a otros trastornos del sueño (síndrome de piernas inquietas, insomnio con monitoreo de actividad, narcolepsia con actigrafía).</w:t>
      </w:r>
    </w:p>
    <w:p>
      <w:pPr>
        <w:pStyle w:val="Heading2"/>
        <w:spacing w:after="120" w:before="240"/>
      </w:pPr>
      <w:r>
        <w:rPr>
          <w:rFonts w:ascii="Arial" w:cs="Arial" w:eastAsia="Arial" w:hAnsi="Arial"/>
          <w:b/>
          <w:bCs/>
          <w:color w:val="1E3A5F"/>
          <w:sz w:val="24"/>
          <w:szCs w:val="24"/>
        </w:rPr>
        <w:t xml:space="preserve">10.2.3  Plano clínico y traslacional</w:t>
      </w:r>
    </w:p>
    <w:p>
      <w:pPr>
        <w:spacing w:after="160" w:line="276"/>
        <w:jc w:val="both"/>
      </w:pPr>
      <w:r>
        <w:rPr>
          <w:rFonts w:ascii="Arial" w:cs="Arial" w:eastAsia="Arial" w:hAnsi="Arial"/>
        </w:rPr>
        <w:t xml:space="preserve">La contribución en el plano clínico es de dos tipos: (a) la aplicación clínica interactiva (Cap07, en preparación), cuya funcionalidad central —inferencia morfotipo + estados PAC + score de riesgo sobre registros domiciliarios del SOMNI 6000 y generación de informes asistida por IA— está técnicamente operativa sobre el pipeline PAC_v3; y (b) la evidencia analítica de la condición algorítmica mínima para una intervención terapéutica adaptativa —esto es, que la información predictiva existe, es consistente entre pacientes y tiene horizonte suficiente. El paso siguiente —demostrar que actuar sobre esa información tiene efecto terapéutico— corresponde al ensayo clínico controlado cuyo diseño se esboza en §9.7.4 y se retoma en §10.4.</w:t>
      </w:r>
    </w:p>
    <w:p>
      <w:pPr>
        <w:pStyle w:val="Heading1"/>
        <w:pBdr>
          <w:bottom w:val="single" w:color="D0D8E4" w:sz="4" w:space="4"/>
        </w:pBdr>
        <w:spacing w:after="160" w:before="320"/>
      </w:pPr>
      <w:r>
        <w:rPr>
          <w:rFonts w:ascii="Arial" w:cs="Arial" w:eastAsia="Arial" w:hAnsi="Arial"/>
          <w:b/>
          <w:bCs/>
          <w:color w:val="1E3A5F"/>
          <w:sz w:val="28"/>
          <w:szCs w:val="28"/>
        </w:rPr>
        <w:t xml:space="preserve">10.3  Publicaciones asociadas</w:t>
      </w:r>
    </w:p>
    <w:p>
      <w:pPr>
        <w:spacing w:after="160" w:line="276"/>
        <w:jc w:val="both"/>
      </w:pPr>
      <w:r>
        <w:rPr>
          <w:rFonts w:ascii="Arial" w:cs="Arial" w:eastAsia="Arial" w:hAnsi="Arial"/>
        </w:rPr>
        <w:t xml:space="preserve">Los resultados de la tesis se organizan en un marco de cuatro publicaciones que corresponden a los cuatro módulos analíticos principales del proyecto. La Tabla 10.2 resume su estado a la fecha de cierre de este documento.</w:t>
      </w:r>
    </w:p>
    <w:p>
      <w:pPr>
        <w:spacing w:after="8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2200"/>
        <w:gridCol w:w="2200"/>
      </w:tblGrid>
      <w:tr>
        <w:tc>
          <w:tcPr>
            <w:tcW w:type="dxa" w:w="800"/>
            <w:tcBorders>
              <w:top w:val="single" w:color="C8D4E8" w:sz="1"/>
              <w:left w:val="single" w:color="C8D4E8" w:sz="1"/>
              <w:bottom w:val="single" w:color="C8D4E8" w:sz="1"/>
              <w:right w:val="single" w:color="C8D4E8" w:sz="1"/>
            </w:tcBorders>
            <w:shd w:fill="1E3A5F"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Ref.</w:t>
            </w:r>
          </w:p>
        </w:tc>
        <w:tc>
          <w:tcPr>
            <w:tcW w:type="dxa" w:w="3800"/>
            <w:tcBorders>
              <w:top w:val="single" w:color="C8D4E8" w:sz="1"/>
              <w:left w:val="single" w:color="C8D4E8" w:sz="1"/>
              <w:bottom w:val="single" w:color="C8D4E8" w:sz="1"/>
              <w:right w:val="single" w:color="C8D4E8" w:sz="1"/>
            </w:tcBorders>
            <w:shd w:fill="1E3A5F"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Título abreviado</w:t>
            </w:r>
          </w:p>
        </w:tc>
        <w:tc>
          <w:tcPr>
            <w:tcW w:type="dxa" w:w="2200"/>
            <w:tcBorders>
              <w:top w:val="single" w:color="C8D4E8" w:sz="1"/>
              <w:left w:val="single" w:color="C8D4E8" w:sz="1"/>
              <w:bottom w:val="single" w:color="C8D4E8" w:sz="1"/>
              <w:right w:val="single" w:color="C8D4E8" w:sz="1"/>
            </w:tcBorders>
            <w:shd w:fill="1E3A5F"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Cubre</w:t>
            </w:r>
          </w:p>
        </w:tc>
        <w:tc>
          <w:tcPr>
            <w:tcW w:type="dxa" w:w="2200"/>
            <w:tcBorders>
              <w:top w:val="single" w:color="C8D4E8" w:sz="1"/>
              <w:left w:val="single" w:color="C8D4E8" w:sz="1"/>
              <w:bottom w:val="single" w:color="C8D4E8" w:sz="1"/>
              <w:right w:val="single" w:color="C8D4E8" w:sz="1"/>
            </w:tcBorders>
            <w:shd w:fill="1E3A5F"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Estado</w:t>
            </w:r>
          </w:p>
        </w:tc>
      </w:tr>
      <w:tr>
        <w:tc>
          <w:tcPr>
            <w:tcW w:type="dxa" w:w="800"/>
            <w:tcBorders>
              <w:top w:val="single" w:color="C8D4E8" w:sz="1"/>
              <w:left w:val="single" w:color="C8D4E8" w:sz="1"/>
              <w:bottom w:val="single" w:color="C8D4E8" w:sz="1"/>
              <w:right w:val="single" w:color="C8D4E8" w:sz="1"/>
            </w:tcBorders>
            <w:shd w:fill="EBF0F7" w:val="clear"/>
            <w:tcMar>
              <w:top w:type="dxa" w:w="90"/>
              <w:left w:type="dxa" w:w="140"/>
              <w:bottom w:type="dxa" w:w="90"/>
              <w:right w:type="dxa" w:w="140"/>
            </w:tcMar>
          </w:tcPr>
          <w:p>
            <w:pPr>
              <w:jc w:val="center"/>
            </w:pPr>
            <w:r>
              <w:rPr>
                <w:rFonts w:ascii="Arial" w:cs="Arial" w:eastAsia="Arial" w:hAnsi="Arial"/>
                <w:b/>
                <w:bCs/>
                <w:color w:val="1E3A5F"/>
                <w:sz w:val="19"/>
                <w:szCs w:val="19"/>
              </w:rPr>
              <w:t xml:space="preserve">T1</w:t>
            </w:r>
          </w:p>
        </w:tc>
        <w:tc>
          <w:tcPr>
            <w:tcW w:type="dxa" w:w="3800"/>
            <w:tcBorders>
              <w:top w:val="single" w:color="C8D4E8" w:sz="1"/>
              <w:left w:val="single" w:color="C8D4E8" w:sz="1"/>
              <w:bottom w:val="single" w:color="C8D4E8" w:sz="1"/>
              <w:right w:val="single" w:color="C8D4E8" w:sz="1"/>
            </w:tcBorders>
            <w:tcMar>
              <w:top w:type="dxa" w:w="90"/>
              <w:left w:type="dxa" w:w="140"/>
              <w:bottom w:type="dxa" w:w="90"/>
              <w:right w:type="dxa" w:w="140"/>
            </w:tcMar>
          </w:tcPr>
          <w:p>
            <w:pPr>
              <w:jc w:val="both"/>
            </w:pPr>
            <w:r>
              <w:rPr>
                <w:rFonts w:ascii="Arial" w:cs="Arial" w:eastAsia="Arial" w:hAnsi="Arial"/>
                <w:sz w:val="19"/>
                <w:szCs w:val="19"/>
              </w:rPr>
              <w:t xml:space="preserve">Fenotipado morfológico y ARI en eventos de desaturación nocturna</w:t>
            </w:r>
          </w:p>
        </w:tc>
        <w:tc>
          <w:tcPr>
            <w:tcW w:type="dxa" w:w="2200"/>
            <w:tcBorders>
              <w:top w:val="single" w:color="C8D4E8" w:sz="1"/>
              <w:left w:val="single" w:color="C8D4E8" w:sz="1"/>
              <w:bottom w:val="single" w:color="C8D4E8" w:sz="1"/>
              <w:right w:val="single" w:color="C8D4E8" w:sz="1"/>
            </w:tcBorders>
            <w:tcMar>
              <w:top w:type="dxa" w:w="90"/>
              <w:left w:type="dxa" w:w="140"/>
              <w:bottom w:type="dxa" w:w="90"/>
              <w:right w:type="dxa" w:w="140"/>
            </w:tcMar>
          </w:tcPr>
          <w:p>
            <w:pPr>
              <w:jc w:val="both"/>
            </w:pPr>
            <w:r>
              <w:rPr>
                <w:rFonts w:ascii="Arial" w:cs="Arial" w:eastAsia="Arial" w:hAnsi="Arial"/>
                <w:sz w:val="19"/>
                <w:szCs w:val="19"/>
              </w:rPr>
              <w:t xml:space="preserve">NB01–NB02</w:t>
            </w:r>
          </w:p>
        </w:tc>
        <w:tc>
          <w:tcPr>
            <w:tcW w:type="dxa" w:w="2200"/>
            <w:tcBorders>
              <w:top w:val="single" w:color="C8D4E8" w:sz="1"/>
              <w:left w:val="single" w:color="C8D4E8" w:sz="1"/>
              <w:bottom w:val="single" w:color="C8D4E8" w:sz="1"/>
              <w:right w:val="single" w:color="C8D4E8" w:sz="1"/>
            </w:tcBorders>
            <w:shd w:fill="EBF0F7" w:val="clear"/>
            <w:tcMar>
              <w:top w:type="dxa" w:w="90"/>
              <w:left w:type="dxa" w:w="140"/>
              <w:bottom w:type="dxa" w:w="90"/>
              <w:right w:type="dxa" w:w="140"/>
            </w:tcMar>
          </w:tcPr>
          <w:p>
            <w:pPr>
              <w:jc w:val="center"/>
            </w:pPr>
            <w:r>
              <w:rPr>
                <w:rFonts w:ascii="Arial" w:cs="Arial" w:eastAsia="Arial" w:hAnsi="Arial"/>
                <w:b/>
                <w:bCs/>
                <w:color w:val="155724"/>
                <w:sz w:val="19"/>
                <w:szCs w:val="19"/>
              </w:rPr>
              <w:t xml:space="preserve">Enviado</w:t>
            </w:r>
          </w:p>
        </w:tc>
      </w:tr>
      <w:tr>
        <w:tc>
          <w:tcPr>
            <w:tcW w:type="dxa" w:w="800"/>
            <w:tcBorders>
              <w:top w:val="single" w:color="C8D4E8" w:sz="1"/>
              <w:left w:val="single" w:color="C8D4E8" w:sz="1"/>
              <w:bottom w:val="single" w:color="C8D4E8" w:sz="1"/>
              <w:right w:val="single" w:color="C8D4E8" w:sz="1"/>
            </w:tcBorders>
            <w:shd w:fill="EBF0F7" w:val="clear"/>
            <w:tcMar>
              <w:top w:type="dxa" w:w="90"/>
              <w:left w:type="dxa" w:w="140"/>
              <w:bottom w:type="dxa" w:w="90"/>
              <w:right w:type="dxa" w:w="140"/>
            </w:tcMar>
          </w:tcPr>
          <w:p>
            <w:pPr>
              <w:jc w:val="center"/>
            </w:pPr>
            <w:r>
              <w:rPr>
                <w:rFonts w:ascii="Arial" w:cs="Arial" w:eastAsia="Arial" w:hAnsi="Arial"/>
                <w:b/>
                <w:bCs/>
                <w:color w:val="1E3A5F"/>
                <w:sz w:val="19"/>
                <w:szCs w:val="19"/>
              </w:rPr>
              <w:t xml:space="preserve">T2</w:t>
            </w:r>
          </w:p>
        </w:tc>
        <w:tc>
          <w:tcPr>
            <w:tcW w:type="dxa" w:w="3800"/>
            <w:tcBorders>
              <w:top w:val="single" w:color="C8D4E8" w:sz="1"/>
              <w:left w:val="single" w:color="C8D4E8" w:sz="1"/>
              <w:bottom w:val="single" w:color="C8D4E8" w:sz="1"/>
              <w:right w:val="single" w:color="C8D4E8" w:sz="1"/>
            </w:tcBorders>
            <w:tcMar>
              <w:top w:type="dxa" w:w="90"/>
              <w:left w:type="dxa" w:w="140"/>
              <w:bottom w:type="dxa" w:w="90"/>
              <w:right w:type="dxa" w:w="140"/>
            </w:tcMar>
          </w:tcPr>
          <w:p>
            <w:pPr>
              <w:jc w:val="both"/>
            </w:pPr>
            <w:r>
              <w:rPr>
                <w:rFonts w:ascii="Arial" w:cs="Arial" w:eastAsia="Arial" w:hAnsi="Arial"/>
                <w:sz w:val="19"/>
                <w:szCs w:val="19"/>
              </w:rPr>
              <w:t xml:space="preserve">PAC States: estados dinámicos multiescala de la fisiología nocturna en SAOS</w:t>
            </w:r>
          </w:p>
        </w:tc>
        <w:tc>
          <w:tcPr>
            <w:tcW w:type="dxa" w:w="2200"/>
            <w:tcBorders>
              <w:top w:val="single" w:color="C8D4E8" w:sz="1"/>
              <w:left w:val="single" w:color="C8D4E8" w:sz="1"/>
              <w:bottom w:val="single" w:color="C8D4E8" w:sz="1"/>
              <w:right w:val="single" w:color="C8D4E8" w:sz="1"/>
            </w:tcBorders>
            <w:tcMar>
              <w:top w:type="dxa" w:w="90"/>
              <w:left w:type="dxa" w:w="140"/>
              <w:bottom w:type="dxa" w:w="90"/>
              <w:right w:type="dxa" w:w="140"/>
            </w:tcMar>
          </w:tcPr>
          <w:p>
            <w:pPr>
              <w:jc w:val="both"/>
            </w:pPr>
            <w:r>
              <w:rPr>
                <w:rFonts w:ascii="Arial" w:cs="Arial" w:eastAsia="Arial" w:hAnsi="Arial"/>
                <w:sz w:val="19"/>
                <w:szCs w:val="19"/>
              </w:rPr>
              <w:t xml:space="preserve">NB03–NB04</w:t>
            </w:r>
          </w:p>
        </w:tc>
        <w:tc>
          <w:tcPr>
            <w:tcW w:type="dxa" w:w="2200"/>
            <w:tcBorders>
              <w:top w:val="single" w:color="C8D4E8" w:sz="1"/>
              <w:left w:val="single" w:color="C8D4E8" w:sz="1"/>
              <w:bottom w:val="single" w:color="C8D4E8" w:sz="1"/>
              <w:right w:val="single" w:color="C8D4E8" w:sz="1"/>
            </w:tcBorders>
            <w:shd w:fill="EBF0F7" w:val="clear"/>
            <w:tcMar>
              <w:top w:type="dxa" w:w="90"/>
              <w:left w:type="dxa" w:w="140"/>
              <w:bottom w:type="dxa" w:w="90"/>
              <w:right w:type="dxa" w:w="140"/>
            </w:tcMar>
          </w:tcPr>
          <w:p>
            <w:pPr>
              <w:jc w:val="center"/>
            </w:pPr>
            <w:r>
              <w:rPr>
                <w:rFonts w:ascii="Arial" w:cs="Arial" w:eastAsia="Arial" w:hAnsi="Arial"/>
                <w:b/>
                <w:bCs/>
                <w:color w:val="6B7280"/>
                <w:sz w:val="19"/>
                <w:szCs w:val="19"/>
              </w:rPr>
              <w:t xml:space="preserve">En preparación</w:t>
            </w:r>
          </w:p>
        </w:tc>
      </w:tr>
      <w:tr>
        <w:tc>
          <w:tcPr>
            <w:tcW w:type="dxa" w:w="800"/>
            <w:tcBorders>
              <w:top w:val="single" w:color="C8D4E8" w:sz="1"/>
              <w:left w:val="single" w:color="C8D4E8" w:sz="1"/>
              <w:bottom w:val="single" w:color="C8D4E8" w:sz="1"/>
              <w:right w:val="single" w:color="C8D4E8" w:sz="1"/>
            </w:tcBorders>
            <w:shd w:fill="EBF0F7" w:val="clear"/>
            <w:tcMar>
              <w:top w:type="dxa" w:w="90"/>
              <w:left w:type="dxa" w:w="140"/>
              <w:bottom w:type="dxa" w:w="90"/>
              <w:right w:type="dxa" w:w="140"/>
            </w:tcMar>
          </w:tcPr>
          <w:p>
            <w:pPr>
              <w:jc w:val="center"/>
            </w:pPr>
            <w:r>
              <w:rPr>
                <w:rFonts w:ascii="Arial" w:cs="Arial" w:eastAsia="Arial" w:hAnsi="Arial"/>
                <w:b/>
                <w:bCs/>
                <w:color w:val="1E3A5F"/>
                <w:sz w:val="19"/>
                <w:szCs w:val="19"/>
              </w:rPr>
              <w:t xml:space="preserve">T3</w:t>
            </w:r>
          </w:p>
        </w:tc>
        <w:tc>
          <w:tcPr>
            <w:tcW w:type="dxa" w:w="3800"/>
            <w:tcBorders>
              <w:top w:val="single" w:color="C8D4E8" w:sz="1"/>
              <w:left w:val="single" w:color="C8D4E8" w:sz="1"/>
              <w:bottom w:val="single" w:color="C8D4E8" w:sz="1"/>
              <w:right w:val="single" w:color="C8D4E8" w:sz="1"/>
            </w:tcBorders>
            <w:tcMar>
              <w:top w:type="dxa" w:w="90"/>
              <w:left w:type="dxa" w:w="140"/>
              <w:bottom w:type="dxa" w:w="90"/>
              <w:right w:type="dxa" w:w="140"/>
            </w:tcMar>
          </w:tcPr>
          <w:p>
            <w:pPr>
              <w:jc w:val="both"/>
            </w:pPr>
            <w:r>
              <w:rPr>
                <w:rFonts w:ascii="Arial" w:cs="Arial" w:eastAsia="Arial" w:hAnsi="Arial"/>
                <w:sz w:val="19"/>
                <w:szCs w:val="19"/>
              </w:rPr>
              <w:t xml:space="preserve">Acoplamiento morfotipo–estado y modelos predictivos basados en PAC</w:t>
            </w:r>
          </w:p>
        </w:tc>
        <w:tc>
          <w:tcPr>
            <w:tcW w:type="dxa" w:w="2200"/>
            <w:tcBorders>
              <w:top w:val="single" w:color="C8D4E8" w:sz="1"/>
              <w:left w:val="single" w:color="C8D4E8" w:sz="1"/>
              <w:bottom w:val="single" w:color="C8D4E8" w:sz="1"/>
              <w:right w:val="single" w:color="C8D4E8" w:sz="1"/>
            </w:tcBorders>
            <w:tcMar>
              <w:top w:type="dxa" w:w="90"/>
              <w:left w:type="dxa" w:w="140"/>
              <w:bottom w:type="dxa" w:w="90"/>
              <w:right w:type="dxa" w:w="140"/>
            </w:tcMar>
          </w:tcPr>
          <w:p>
            <w:pPr>
              <w:jc w:val="both"/>
            </w:pPr>
            <w:r>
              <w:rPr>
                <w:rFonts w:ascii="Arial" w:cs="Arial" w:eastAsia="Arial" w:hAnsi="Arial"/>
                <w:sz w:val="19"/>
                <w:szCs w:val="19"/>
              </w:rPr>
              <w:t xml:space="preserve">NB05–NB07</w:t>
            </w:r>
          </w:p>
        </w:tc>
        <w:tc>
          <w:tcPr>
            <w:tcW w:type="dxa" w:w="2200"/>
            <w:tcBorders>
              <w:top w:val="single" w:color="C8D4E8" w:sz="1"/>
              <w:left w:val="single" w:color="C8D4E8" w:sz="1"/>
              <w:bottom w:val="single" w:color="C8D4E8" w:sz="1"/>
              <w:right w:val="single" w:color="C8D4E8" w:sz="1"/>
            </w:tcBorders>
            <w:shd w:fill="EBF0F7" w:val="clear"/>
            <w:tcMar>
              <w:top w:type="dxa" w:w="90"/>
              <w:left w:type="dxa" w:w="140"/>
              <w:bottom w:type="dxa" w:w="90"/>
              <w:right w:type="dxa" w:w="140"/>
            </w:tcMar>
          </w:tcPr>
          <w:p>
            <w:pPr>
              <w:jc w:val="center"/>
            </w:pPr>
            <w:r>
              <w:rPr>
                <w:rFonts w:ascii="Arial" w:cs="Arial" w:eastAsia="Arial" w:hAnsi="Arial"/>
                <w:b/>
                <w:bCs/>
                <w:color w:val="6B7280"/>
                <w:sz w:val="19"/>
                <w:szCs w:val="19"/>
              </w:rPr>
              <w:t xml:space="preserve">En preparación</w:t>
            </w:r>
          </w:p>
        </w:tc>
      </w:tr>
      <w:tr>
        <w:tc>
          <w:tcPr>
            <w:tcW w:type="dxa" w:w="800"/>
            <w:tcBorders>
              <w:top w:val="single" w:color="C8D4E8" w:sz="1"/>
              <w:left w:val="single" w:color="C8D4E8" w:sz="1"/>
              <w:bottom w:val="single" w:color="C8D4E8" w:sz="1"/>
              <w:right w:val="single" w:color="C8D4E8" w:sz="1"/>
            </w:tcBorders>
            <w:shd w:fill="EBF0F7" w:val="clear"/>
            <w:tcMar>
              <w:top w:type="dxa" w:w="90"/>
              <w:left w:type="dxa" w:w="140"/>
              <w:bottom w:type="dxa" w:w="90"/>
              <w:right w:type="dxa" w:w="140"/>
            </w:tcMar>
          </w:tcPr>
          <w:p>
            <w:pPr>
              <w:jc w:val="center"/>
            </w:pPr>
            <w:r>
              <w:rPr>
                <w:rFonts w:ascii="Arial" w:cs="Arial" w:eastAsia="Arial" w:hAnsi="Arial"/>
                <w:b/>
                <w:bCs/>
                <w:color w:val="1E3A5F"/>
                <w:sz w:val="19"/>
                <w:szCs w:val="19"/>
              </w:rPr>
              <w:t xml:space="preserve">T4</w:t>
            </w:r>
          </w:p>
        </w:tc>
        <w:tc>
          <w:tcPr>
            <w:tcW w:type="dxa" w:w="3800"/>
            <w:tcBorders>
              <w:top w:val="single" w:color="C8D4E8" w:sz="1"/>
              <w:left w:val="single" w:color="C8D4E8" w:sz="1"/>
              <w:bottom w:val="single" w:color="C8D4E8" w:sz="1"/>
              <w:right w:val="single" w:color="C8D4E8" w:sz="1"/>
            </w:tcBorders>
            <w:tcMar>
              <w:top w:type="dxa" w:w="90"/>
              <w:left w:type="dxa" w:w="140"/>
              <w:bottom w:type="dxa" w:w="90"/>
              <w:right w:type="dxa" w:w="140"/>
            </w:tcMar>
          </w:tcPr>
          <w:p>
            <w:pPr>
              <w:jc w:val="both"/>
            </w:pPr>
            <w:r>
              <w:rPr>
                <w:rFonts w:ascii="Arial" w:cs="Arial" w:eastAsia="Arial" w:hAnsi="Arial"/>
                <w:sz w:val="19"/>
                <w:szCs w:val="19"/>
              </w:rPr>
              <w:t xml:space="preserve">Predicción prospectiva de EDO severo con horizonte temporal clínico</w:t>
            </w:r>
          </w:p>
        </w:tc>
        <w:tc>
          <w:tcPr>
            <w:tcW w:type="dxa" w:w="2200"/>
            <w:tcBorders>
              <w:top w:val="single" w:color="C8D4E8" w:sz="1"/>
              <w:left w:val="single" w:color="C8D4E8" w:sz="1"/>
              <w:bottom w:val="single" w:color="C8D4E8" w:sz="1"/>
              <w:right w:val="single" w:color="C8D4E8" w:sz="1"/>
            </w:tcBorders>
            <w:tcMar>
              <w:top w:type="dxa" w:w="90"/>
              <w:left w:type="dxa" w:w="140"/>
              <w:bottom w:type="dxa" w:w="90"/>
              <w:right w:type="dxa" w:w="140"/>
            </w:tcMar>
          </w:tcPr>
          <w:p>
            <w:pPr>
              <w:jc w:val="both"/>
            </w:pPr>
            <w:r>
              <w:rPr>
                <w:rFonts w:ascii="Arial" w:cs="Arial" w:eastAsia="Arial" w:hAnsi="Arial"/>
                <w:sz w:val="19"/>
                <w:szCs w:val="19"/>
              </w:rPr>
              <w:t xml:space="preserve">NB08</w:t>
            </w:r>
          </w:p>
        </w:tc>
        <w:tc>
          <w:tcPr>
            <w:tcW w:type="dxa" w:w="2200"/>
            <w:tcBorders>
              <w:top w:val="single" w:color="C8D4E8" w:sz="1"/>
              <w:left w:val="single" w:color="C8D4E8" w:sz="1"/>
              <w:bottom w:val="single" w:color="C8D4E8" w:sz="1"/>
              <w:right w:val="single" w:color="C8D4E8" w:sz="1"/>
            </w:tcBorders>
            <w:shd w:fill="EBF0F7" w:val="clear"/>
            <w:tcMar>
              <w:top w:type="dxa" w:w="90"/>
              <w:left w:type="dxa" w:w="140"/>
              <w:bottom w:type="dxa" w:w="90"/>
              <w:right w:type="dxa" w:w="140"/>
            </w:tcMar>
          </w:tcPr>
          <w:p>
            <w:pPr>
              <w:jc w:val="center"/>
            </w:pPr>
            <w:r>
              <w:rPr>
                <w:rFonts w:ascii="Arial" w:cs="Arial" w:eastAsia="Arial" w:hAnsi="Arial"/>
                <w:b/>
                <w:bCs/>
                <w:color w:val="6B7280"/>
                <w:sz w:val="19"/>
                <w:szCs w:val="19"/>
              </w:rPr>
              <w:t xml:space="preserve">En preparación</w:t>
            </w:r>
          </w:p>
        </w:tc>
      </w:tr>
    </w:tbl>
    <w:p>
      <w:pPr>
        <w:spacing w:after="80"/>
      </w:pPr>
      <w:r>
        <w:rPr>
          <w:rFonts w:ascii="Arial" w:cs="Arial" w:eastAsia="Arial" w:hAnsi="Arial"/>
        </w:rPr>
        <w:t xml:space="preserve"/>
      </w:r>
    </w:p>
    <w:p>
      <w:pPr>
        <w:spacing w:after="160" w:line="276"/>
        <w:jc w:val="both"/>
      </w:pPr>
      <w:r>
        <w:rPr>
          <w:rFonts w:ascii="Arial" w:cs="Arial" w:eastAsia="Arial" w:hAnsi="Arial"/>
          <w:b/>
          <w:bCs/>
        </w:rPr>
        <w:t xml:space="preserve">T1 </w:t>
      </w:r>
      <w:r>
        <w:rPr>
          <w:rFonts w:ascii="Arial" w:cs="Arial" w:eastAsia="Arial" w:hAnsi="Arial"/>
        </w:rPr>
        <w:t xml:space="preserve">es el trabajo de mayor madurez. Cubre el fenotipado morfológico (Cap04): morfotipos C1–C5, ARI, gradiente autonómico inverso y ortogonalidad ARI–ODI3. Contiene la descripción técnica definitiva del dispositivo SOMNI 6000 y la fórmula canónica del ARI. Fue enviado para revisión en mayo de 2025.</w:t>
      </w:r>
    </w:p>
    <w:p>
      <w:pPr>
        <w:spacing w:after="160" w:line="276"/>
        <w:jc w:val="both"/>
      </w:pPr>
      <w:r>
        <w:rPr>
          <w:rFonts w:ascii="Arial" w:cs="Arial" w:eastAsia="Arial" w:hAnsi="Arial"/>
          <w:b/>
          <w:bCs/>
        </w:rPr>
        <w:t xml:space="preserve">T2 </w:t>
      </w:r>
      <w:r>
        <w:rPr>
          <w:rFonts w:ascii="Arial" w:cs="Arial" w:eastAsia="Arial" w:hAnsi="Arial"/>
        </w:rPr>
        <w:t xml:space="preserve">cubre los PAC States multiescala (Cap05): construcción del sistema S/M/L, especialización funcional, entropías de transición y arquetipos de noche. Su preparación puede iniciarse sobre el manuscrito de T1 como base metodológica.</w:t>
      </w:r>
    </w:p>
    <w:p>
      <w:pPr>
        <w:spacing w:after="160" w:line="276"/>
        <w:jc w:val="both"/>
      </w:pPr>
      <w:r>
        <w:rPr>
          <w:rFonts w:ascii="Arial" w:cs="Arial" w:eastAsia="Arial" w:hAnsi="Arial"/>
          <w:b/>
          <w:bCs/>
        </w:rPr>
        <w:t xml:space="preserve">T3 </w:t>
      </w:r>
      <w:r>
        <w:rPr>
          <w:rFonts w:ascii="Arial" w:cs="Arial" w:eastAsia="Arial" w:hAnsi="Arial"/>
        </w:rPr>
        <w:t xml:space="preserve">abarca el acoplamiento morfotipo–estado y los modelos predictivos (Cap06): V de Cramér, coupling index nocturno, resiliencia post-evento, fenotipos de trayectoria y modelos NB06–NB07. Es el trabajo de mayor carga de resultados y requerirá mayor extensión.</w:t>
      </w:r>
    </w:p>
    <w:p>
      <w:pPr>
        <w:spacing w:after="160" w:line="276"/>
        <w:jc w:val="both"/>
      </w:pPr>
      <w:r>
        <w:rPr>
          <w:rFonts w:ascii="Arial" w:cs="Arial" w:eastAsia="Arial" w:hAnsi="Arial"/>
          <w:b/>
          <w:bCs/>
        </w:rPr>
        <w:t xml:space="preserve">T4 </w:t>
      </w:r>
      <w:r>
        <w:rPr>
          <w:rFonts w:ascii="Arial" w:cs="Arial" w:eastAsia="Arial" w:hAnsi="Arial"/>
        </w:rPr>
        <w:t xml:space="preserve">presenta la predicción prospectiva con horizonte temporal (Cap08): formulación NB08, rendimiento por horizonte, análisis operacional y las implicancias para el diseño del estimulador. Su contribución diferencial frente a la literatura es el AUC competitivo con validación LOPO-CV estricta en datos domiciliarios de un único sensor.</w:t>
      </w:r>
    </w:p>
    <w:p>
      <w:pPr>
        <w:pStyle w:val="Heading1"/>
        <w:pBdr>
          <w:bottom w:val="single" w:color="D0D8E4" w:sz="4" w:space="4"/>
        </w:pBdr>
        <w:spacing w:after="160" w:before="320"/>
      </w:pPr>
      <w:r>
        <w:rPr>
          <w:rFonts w:ascii="Arial" w:cs="Arial" w:eastAsia="Arial" w:hAnsi="Arial"/>
          <w:b/>
          <w:bCs/>
          <w:color w:val="1E3A5F"/>
          <w:sz w:val="28"/>
          <w:szCs w:val="28"/>
        </w:rPr>
        <w:t xml:space="preserve">10.4  Trabajo futuro</w:t>
      </w:r>
    </w:p>
    <w:p>
      <w:pPr>
        <w:spacing w:after="160" w:line="276"/>
        <w:jc w:val="both"/>
      </w:pPr>
      <w:r>
        <w:rPr>
          <w:rFonts w:ascii="Arial" w:cs="Arial" w:eastAsia="Arial" w:hAnsi="Arial"/>
        </w:rPr>
        <w:t xml:space="preserve">La agenda de trabajo futuro se organiza en tres horizontes: metodológico-inmediato, clínico-experimental y de extensión del sistema.</w:t>
      </w:r>
    </w:p>
    <w:p>
      <w:pPr>
        <w:pStyle w:val="Heading2"/>
        <w:spacing w:after="120" w:before="240"/>
      </w:pPr>
      <w:r>
        <w:rPr>
          <w:rFonts w:ascii="Arial" w:cs="Arial" w:eastAsia="Arial" w:hAnsi="Arial"/>
          <w:b/>
          <w:bCs/>
          <w:color w:val="1E3A5F"/>
          <w:sz w:val="24"/>
          <w:szCs w:val="24"/>
        </w:rPr>
        <w:t xml:space="preserve">10.4.1  Validación metodológica (horizonte inmediato)</w:t>
      </w:r>
    </w:p>
    <w:p>
      <w:pPr>
        <w:spacing w:after="160" w:line="276"/>
        <w:ind w:left="360"/>
        <w:jc w:val="both"/>
      </w:pPr>
      <w:r>
        <w:rPr>
          <w:rFonts w:ascii="Arial" w:cs="Arial" w:eastAsia="Arial" w:hAnsi="Arial"/>
          <w:b/>
          <w:bCs/>
          <w:color w:val="1E3A5F"/>
        </w:rPr>
        <w:t xml:space="preserve">1.  </w:t>
      </w:r>
      <w:r>
        <w:rPr>
          <w:rFonts w:ascii="Arial" w:cs="Arial" w:eastAsia="Arial" w:hAnsi="Arial"/>
        </w:rPr>
        <w:t xml:space="preserve">Cohorte externa con PSG simultánea. El paso de mayor prioridad es la validación de los morfotipos C1–C5 y los estados PAC sobre una cohorte independiente de al menos 30–50 pacientes con PSG paralela al registro de oximetría portátil. Esto permitiría: (a) cuantificar la concordancia de los morfotipos con la clasificación clínica AASM de los eventos; (b) comparar los estados PAC con los estadios del sueño convencionales; y (c) resolver la circularidad PAC descrita en §9.7.3 y §9.8.</w:t>
      </w:r>
    </w:p>
    <w:p>
      <w:pPr>
        <w:spacing w:after="160" w:line="276"/>
        <w:ind w:left="360"/>
        <w:jc w:val="both"/>
      </w:pPr>
      <w:r>
        <w:rPr>
          <w:rFonts w:ascii="Arial" w:cs="Arial" w:eastAsia="Arial" w:hAnsi="Arial"/>
          <w:b/>
          <w:bCs/>
          <w:color w:val="1E3A5F"/>
        </w:rPr>
        <w:t xml:space="preserve">2.  </w:t>
      </w:r>
      <w:r>
        <w:rPr>
          <w:rFonts w:ascii="Arial" w:cs="Arial" w:eastAsia="Arial" w:hAnsi="Arial"/>
        </w:rPr>
        <w:t xml:space="preserve">Reconstrucción de clusters PAC within-fold. Una versión metodológicamente más rigurosa del LOPO-CV reentrenarían los modelos de clustering (morfotipos y estados) dentro de cada fold de entrenamiento y los aplicaría al fold de evaluación sin contaminación. Esto requiere adaptar el pipeline para que los pasos no supervisados sean locales al fold, lo que es computacionalmente factible con el tamaño actual de la cohorte.</w:t>
      </w:r>
    </w:p>
    <w:p>
      <w:pPr>
        <w:spacing w:after="160" w:line="276"/>
        <w:ind w:left="360"/>
        <w:jc w:val="both"/>
      </w:pPr>
      <w:r>
        <w:rPr>
          <w:rFonts w:ascii="Arial" w:cs="Arial" w:eastAsia="Arial" w:hAnsi="Arial"/>
          <w:b/>
          <w:bCs/>
          <w:color w:val="1E3A5F"/>
        </w:rPr>
        <w:t xml:space="preserve">3.  </w:t>
      </w:r>
      <w:r>
        <w:rPr>
          <w:rFonts w:ascii="Arial" w:cs="Arial" w:eastAsia="Arial" w:hAnsi="Arial"/>
        </w:rPr>
        <w:t xml:space="preserve">Calibración de probabilidades. Los modelos LightGBM de NB07 y NB08 producen probabilidades sobreestimadas (~4×). La aplicación de regresión logística isotónica o Platt scaling sobre el conjunto de validación de cada fold LOPO-CV es el paso inmediato para que las probabilidades de salida sean interpretables en términos absolutos.</w:t>
      </w:r>
    </w:p>
    <w:p>
      <w:pPr>
        <w:pStyle w:val="Heading2"/>
        <w:spacing w:after="120" w:before="240"/>
      </w:pPr>
      <w:r>
        <w:rPr>
          <w:rFonts w:ascii="Arial" w:cs="Arial" w:eastAsia="Arial" w:hAnsi="Arial"/>
          <w:b/>
          <w:bCs/>
          <w:color w:val="1E3A5F"/>
          <w:sz w:val="24"/>
          <w:szCs w:val="24"/>
        </w:rPr>
        <w:t xml:space="preserve">10.4.2  Ensayo clínico controlado (horizonte experimental)</w:t>
      </w:r>
    </w:p>
    <w:p>
      <w:pPr>
        <w:spacing w:after="160" w:line="276"/>
        <w:ind w:left="360"/>
        <w:jc w:val="both"/>
      </w:pPr>
      <w:r>
        <w:rPr>
          <w:rFonts w:ascii="Arial" w:cs="Arial" w:eastAsia="Arial" w:hAnsi="Arial"/>
          <w:b/>
          <w:bCs/>
          <w:color w:val="1E3A5F"/>
        </w:rPr>
        <w:t xml:space="preserve">4.  </w:t>
      </w:r>
      <w:r>
        <w:rPr>
          <w:rFonts w:ascii="Arial" w:cs="Arial" w:eastAsia="Arial" w:hAnsi="Arial"/>
        </w:rPr>
        <w:t xml:space="preserve">Validación de la eficacia terapéutica del estimulador. El diseño tentativo incluye: (a) cohorte de 30–50 pacientes con SAOS moderado-severo confirmado por PSG basal; (b) fase de caracterización domiciliaria de 7–14 noches sin estimulación para estimar los parámetros PAC individuales y calibrar el umbral de activación; (c) asignación aleatoria a estimulación activa vs. placebo durante 4–8 semanas; (d) evaluación de desenlaces primarios (ODI3, T90, carga hipóxica) y secundarios (calidad de sueño, somnolencia, presión arterial). Este diseño cierra la brecha entre la factibilidad algorítmica establecida por la tesis y la eficacia clínica requerida para la aplicación regulatoria del SOMNI 6000.</w:t>
      </w:r>
    </w:p>
    <w:p>
      <w:pPr>
        <w:spacing w:after="160" w:line="276"/>
        <w:ind w:left="360"/>
        <w:jc w:val="both"/>
      </w:pPr>
      <w:r>
        <w:rPr>
          <w:rFonts w:ascii="Arial" w:cs="Arial" w:eastAsia="Arial" w:hAnsi="Arial"/>
          <w:b/>
          <w:bCs/>
          <w:color w:val="1E3A5F"/>
        </w:rPr>
        <w:t xml:space="preserve">5.  </w:t>
      </w:r>
      <w:r>
        <w:rPr>
          <w:rFonts w:ascii="Arial" w:cs="Arial" w:eastAsia="Arial" w:hAnsi="Arial"/>
        </w:rPr>
        <w:t xml:space="preserve">Calibración individualizada del umbral de activación. El protocolo de caracterización inicial es también el mecanismo para resolver la heterogeneidad inter-paciente en prevalencia de eventos severos (rango 20× en la cohorte). Las primeras noches de monitoreo sin estimulación permiten estimar la prevalencia individual y ajustar el umbral de Youden en consecuencia.</w:t>
      </w:r>
    </w:p>
    <w:p>
      <w:pPr>
        <w:pStyle w:val="Heading2"/>
        <w:spacing w:after="120" w:before="240"/>
      </w:pPr>
      <w:r>
        <w:rPr>
          <w:rFonts w:ascii="Arial" w:cs="Arial" w:eastAsia="Arial" w:hAnsi="Arial"/>
          <w:b/>
          <w:bCs/>
          <w:color w:val="1E3A5F"/>
          <w:sz w:val="24"/>
          <w:szCs w:val="24"/>
        </w:rPr>
        <w:t xml:space="preserve">10.4.3  Extensión del sistema PAC (horizonte largo plazo)</w:t>
      </w:r>
    </w:p>
    <w:p>
      <w:pPr>
        <w:spacing w:after="160" w:line="276"/>
        <w:ind w:left="360"/>
        <w:jc w:val="both"/>
      </w:pPr>
      <w:r>
        <w:rPr>
          <w:rFonts w:ascii="Arial" w:cs="Arial" w:eastAsia="Arial" w:hAnsi="Arial"/>
          <w:b/>
          <w:bCs/>
          <w:color w:val="1E3A5F"/>
        </w:rPr>
        <w:t xml:space="preserve">6.  </w:t>
      </w:r>
      <w:r>
        <w:rPr>
          <w:rFonts w:ascii="Arial" w:cs="Arial" w:eastAsia="Arial" w:hAnsi="Arial"/>
        </w:rPr>
        <w:t xml:space="preserve">Integración de señales adicionales. El pipeline PAC_v3 fue diseñado sobre SpO₂, FC y MOV a 1 Hz. La incorporación de señales adicionales —temperatura periférica, impedancia transtorácica, variabilidad de la frecuencia cardíaca en alta resolución— podría enriquecer las features de los estados y mejorar la discriminación de los morfotipos sin modificar la arquitectura del pipeline.</w:t>
      </w:r>
    </w:p>
    <w:p>
      <w:pPr>
        <w:spacing w:after="160" w:line="276"/>
        <w:ind w:left="360"/>
        <w:jc w:val="both"/>
      </w:pPr>
      <w:r>
        <w:rPr>
          <w:rFonts w:ascii="Arial" w:cs="Arial" w:eastAsia="Arial" w:hAnsi="Arial"/>
          <w:b/>
          <w:bCs/>
          <w:color w:val="1E3A5F"/>
        </w:rPr>
        <w:t xml:space="preserve">7.  </w:t>
      </w:r>
      <w:r>
        <w:rPr>
          <w:rFonts w:ascii="Arial" w:cs="Arial" w:eastAsia="Arial" w:hAnsi="Arial"/>
        </w:rPr>
        <w:t xml:space="preserve">Extensión a otras poblaciones y trastornos. La metodología es agnóstica respecto al diagnóstico: los mismos principios de fenotipado morfológico multiescala sobre series temporales fisiológicas son aplicables a trastornos de movimiento nocturno, síndrome de piernas inquietas y seguimiento de pacientes con insuficiencia cardíaca con apnea central. La modularidad del pipeline PAC_v3 facilita esta extensión.</w:t>
      </w:r>
    </w:p>
    <w:p>
      <w:pPr>
        <w:spacing w:after="160" w:line="276"/>
        <w:ind w:left="360"/>
        <w:jc w:val="both"/>
      </w:pPr>
      <w:r>
        <w:rPr>
          <w:rFonts w:ascii="Arial" w:cs="Arial" w:eastAsia="Arial" w:hAnsi="Arial"/>
          <w:b/>
          <w:bCs/>
          <w:color w:val="1E3A5F"/>
        </w:rPr>
        <w:t xml:space="preserve">8.  </w:t>
      </w:r>
      <w:r>
        <w:rPr>
          <w:rFonts w:ascii="Arial" w:cs="Arial" w:eastAsia="Arial" w:hAnsi="Arial"/>
        </w:rPr>
        <w:t xml:space="preserve">Modelos de series temporales para NB08. El modelo LightGBM de NB08 opera sobre features backward-looking estáticas en ventanas de 30 s. La aplicación de modelos nativamente secuenciales —LSTM, Temporal Convolutional Networks o Transformers sobre señal cruda— podría mejorar el AUC en horizontes cortos (H = 2 min), donde la información temporal de la forma de la curva inmediatamente previa al evento podría ser más discriminativa que las features agregadas.</w:t>
      </w:r>
    </w:p>
    <w:p>
      <w:pPr>
        <w:pStyle w:val="Heading1"/>
        <w:pBdr>
          <w:bottom w:val="single" w:color="D0D8E4" w:sz="4" w:space="4"/>
        </w:pBdr>
        <w:spacing w:after="160" w:before="320"/>
      </w:pPr>
      <w:r>
        <w:rPr>
          <w:rFonts w:ascii="Arial" w:cs="Arial" w:eastAsia="Arial" w:hAnsi="Arial"/>
          <w:b/>
          <w:bCs/>
          <w:color w:val="1E3A5F"/>
          <w:sz w:val="28"/>
          <w:szCs w:val="28"/>
        </w:rPr>
        <w:t xml:space="preserve">10.5  Reflexión final</w:t>
      </w:r>
    </w:p>
    <w:p>
      <w:pPr>
        <w:spacing w:after="160" w:line="276"/>
        <w:jc w:val="both"/>
      </w:pPr>
      <w:r>
        <w:rPr>
          <w:rFonts w:ascii="Arial" w:cs="Arial" w:eastAsia="Arial" w:hAnsi="Arial"/>
        </w:rPr>
        <w:t xml:space="preserve">El Proyecto PAC nació de una pregunta clínica concreta: ¿puede un único sensor portátil en el dedo de un paciente, sin infraestructura hospitalaria y sin técnico especializado, generar información suficiente para caracterizar la fisiología nocturna del SAOS con la granularidad necesaria para orientar una intervención terapéutica adaptativa?</w:t>
      </w:r>
    </w:p>
    <w:p>
      <w:pPr>
        <w:spacing w:after="160" w:line="276"/>
        <w:jc w:val="both"/>
      </w:pPr>
      <w:r>
        <w:rPr>
          <w:rFonts w:ascii="Arial" w:cs="Arial" w:eastAsia="Arial" w:hAnsi="Arial"/>
        </w:rPr>
        <w:t xml:space="preserve">La respuesta que esta tesis ofrece es condicional y precisa. Condicional porque lo que el trabajo establece es la factibilidad analítica, no la eficacia terapéutica: que la información predictiva existe y tiene horizonte suficiente, no que actuar sobre ella produce el efecto clínico esperado. Precisa porque las condiciones que permiten esa respuesta están identificadas con exactitud: una cohorte de 12 pacientes, 553 noches de calidad, validación LOPO-CV estricta, y un sistema de representaciones multiescala construido sobre tres señales a 1 Hz.</w:t>
      </w:r>
    </w:p>
    <w:p>
      <w:pPr>
        <w:spacing w:after="160" w:line="276"/>
        <w:jc w:val="both"/>
      </w:pPr>
      <w:r>
        <w:rPr>
          <w:rFonts w:ascii="Arial" w:cs="Arial" w:eastAsia="Arial" w:hAnsi="Arial"/>
        </w:rPr>
        <w:t xml:space="preserve">Dentro de esas condiciones, el proyecto demuestra que la fisiología nocturna tiene estructura —que no es un flujo aleatorio de hipoxemias sino un sistema dinámico organizado en estados, con morfotipos, con acoplamiento y con inercia. Esa estructura es la que hace posible la predicción: si la fisiología fuera azarosa, el estado en el momento T no diría nada sobre el momento T + 5 min. El hecho de que lo diga, con AUC = 0,821 y consistencia entre los ocho pacientes, es la evidencia de que la estructura existe y puede capturarse con oximetría domiciliaria.</w:t>
      </w:r>
    </w:p>
    <w:p>
      <w:pPr>
        <w:spacing w:after="160" w:line="276"/>
        <w:jc w:val="both"/>
      </w:pPr>
      <w:r>
        <w:rPr>
          <w:rFonts w:ascii="Arial" w:cs="Arial" w:eastAsia="Arial" w:hAnsi="Arial"/>
        </w:rPr>
        <w:t xml:space="preserve">Desde el punto de vista de la Maestría en Explotación de Datos y Gestión del Conocimiento, el proyecto ilustra que las contribuciones más relevantes de la ciencia de datos aplicada a problemas biomédicos no son necesariamente los modelos de mayor AUC, sino las representaciones que permiten hacer las preguntas correctas. El ARI no es un modelo: es una pregunta —¿cuánta respuesta autonómica genera este evento por unidad de caída de SpO₂?— que antes no tenía respuesta cuantitativa sobre oximetría domiciliaria. Los estados PAC no son un clasificador: son un vocabulario que permite describir la noche como trayectoria en lugar de como promedio. La contribución metodológica central de esta tesis es, en ese sentido, de naturaleza representacional: proponer el nivel intermedio entre el índice escalar y la señal cruda como el espacio en el que la clínica y la predicción pueden dialogar productivamente.</w:t>
      </w:r>
    </w:p>
    <w:p>
      <w:pPr>
        <w:spacing w:after="160" w:line="276"/>
        <w:jc w:val="both"/>
      </w:pPr>
      <w:r>
        <w:rPr>
          <w:rFonts w:ascii="Arial" w:cs="Arial" w:eastAsia="Arial" w:hAnsi="Arial"/>
        </w:rPr>
        <w:t xml:space="preserve">Lo que queda por hacer es, en parte, técnico —cohorte externa, ensayo controlado, calibración de probabilidades— y en parte conceptual: explorar si la arquitectura PAC, aplicada a otras poblaciones y otros trastornos de monitoreo continuo, produce representaciones igualmente estructuradas. Esa pregunta excede el alcance de esta tesis, pero la metodología para responderla está, en sus elementos esenciales, contenida en el pipeline PAC_v3.</w:t>
      </w:r>
    </w:p>
    <w:p>
      <w:pPr>
        <w:spacing w:after="80"/>
      </w:pPr>
      <w:r>
        <w:rPr>
          <w:rFonts w:ascii="Arial" w:cs="Arial" w:eastAsia="Arial" w:hAnsi="Arial"/>
        </w:rPr>
        <w:t xml:space="preserve"/>
      </w:r>
    </w:p>
    <w:p>
      <w:pPr>
        <w:spacing w:after="80"/>
        <w:jc w:val="center"/>
      </w:pPr>
      <w:r>
        <w:drawing>
          <wp:inline distT="0" distB="0" distL="0" distR="0">
            <wp:extent cx="590550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847850"/>
                    </a:xfrm>
                    <a:prstGeom prst="rect">
                      <a:avLst/>
                    </a:prstGeom>
                  </pic:spPr>
                </pic:pic>
              </a:graphicData>
            </a:graphic>
          </wp:inline>
        </w:drawing>
      </w:r>
    </w:p>
    <w:p>
      <w:pPr>
        <w:spacing w:after="200"/>
        <w:jc w:val="center"/>
      </w:pPr>
      <w:r>
        <w:rPr>
          <w:rFonts w:ascii="Arial" w:cs="Arial" w:eastAsia="Arial" w:hAnsi="Arial"/>
          <w:i/>
          <w:iCs/>
          <w:color w:val="6B7280"/>
          <w:sz w:val="18"/>
          <w:szCs w:val="18"/>
        </w:rPr>
        <w:t xml:space="preserve">Figura 10.1. Cadena analítica del Proyecto PAC: del evento de desaturación individual a la terapia adaptativa domiciliaria.</w:t>
      </w:r>
    </w:p>
    <w:p>
      <w:pPr>
        <w:spacing w:after="80"/>
      </w:pPr>
      <w:r>
        <w:rPr>
          <w:rFonts w:ascii="Arial" w:cs="Arial" w:eastAsia="Arial" w:hAnsi="Arial"/>
        </w:rPr>
        <w:t xml:space="preserve"/>
      </w:r>
    </w:p>
    <w:p>
      <w:pPr>
        <w:spacing w:after="160" w:line="276"/>
        <w:jc w:val="both"/>
      </w:pPr>
      <w:r>
        <w:rPr>
          <w:rFonts w:ascii="Arial" w:cs="Arial" w:eastAsia="Arial" w:hAnsi="Arial"/>
          <w:i/>
          <w:iCs/>
          <w:color w:val="1E3A5F"/>
        </w:rPr>
        <w:t xml:space="preserve">El Proyecto PAC propone que la fisiología nocturna del SAOS no debe entenderse como una colección de eventos aislados, sino como un sistema dinámico multiescala cuya estructura puede ser observada, caracterizada y eventualmente modificada mediante monitoreo continuo domiciliario.</w:t>
      </w:r>
    </w:p>
    <w:sectPr>
      <w:headerReference w:type="default" r:id="rId7"/>
      <w:footerReference w:type="default" r:id="rId8"/>
      <w:pgSz w:w="11906" w:h="16838" w:orient="portrait"/>
      <w:pgMar w:top="1440" w:right="126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4" w:sz="4" w:space="4"/>
      </w:pBdr>
      <w:tabs>
        <w:tab w:val="right" w:pos="9026"/>
      </w:tabs>
      <w:spacing w:before="60"/>
      <w:jc w:val="right"/>
    </w:pPr>
    <w:r>
      <w:rPr>
        <w:rFonts w:ascii="Arial" w:cs="Arial" w:eastAsia="Arial" w:hAnsi="Arial"/>
        <w:color w:val="6B7280"/>
        <w:sz w:val="16"/>
        <w:szCs w:val="16"/>
      </w:rPr>
      <w:t xml:space="preserve">Roberto Inza · Universidad Austral · 2026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8E4" w:sz="4" w:space="4"/>
      </w:pBdr>
      <w:tabs>
        <w:tab w:val="right" w:pos="9026"/>
      </w:tabs>
      <w:spacing w:after="60"/>
    </w:pPr>
    <w:r>
      <w:rPr>
        <w:rFonts w:ascii="Arial" w:cs="Arial" w:eastAsia="Arial" w:hAnsi="Arial"/>
        <w:color w:val="6B7280"/>
        <w:sz w:val="16"/>
        <w:szCs w:val="16"/>
      </w:rPr>
      <w:t xml:space="preserve">Proyecto PAC · Tesis de Maestría</w:t>
    </w:r>
    <w:r>
      <w:rPr>
        <w:rFonts w:ascii="Arial" w:cs="Arial" w:eastAsia="Arial" w:hAnsi="Arial"/>
        <w:sz w:val="16"/>
        <w:szCs w:val="16"/>
      </w:rPr>
      <w:t xml:space="preserve">	</w:t>
    </w:r>
    <w:r>
      <w:rPr>
        <w:rFonts w:ascii="Arial" w:cs="Arial" w:eastAsia="Arial" w:hAnsi="Arial"/>
        <w:i/>
        <w:iCs/>
        <w:color w:val="6B7280"/>
        <w:sz w:val="16"/>
        <w:szCs w:val="16"/>
      </w:rPr>
      <w:t xml:space="preserve">Capítulo 10 — Conclusiones  (v4)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3A5F"/>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E3A5F"/>
      <w:sz w:val="24"/>
      <w:szCs w:val="24"/>
    </w:rPr>
  </w:style>
  <w:style w:type="paragraph" w:styleId="Heading3">
    <w:name w:val="Heading 3"/>
    <w:basedOn w:val="Normal"/>
    <w:next w:val="Normal"/>
    <w:qFormat/>
    <w:pPr>
      <w:spacing w:after="80" w:before="180"/>
      <w:outlineLvl w:val="2"/>
    </w:pPr>
    <w:rPr>
      <w:rFonts w:ascii="Arial" w:cs="Arial" w:eastAsia="Arial" w:hAnsi="Arial"/>
      <w:b/>
      <w:bCs/>
      <w:color w:val="1E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471b9ee28084605eb9d6b45ccb04f8011d78df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2026-05-29T04:28:26.518Z</dcterms:created>
  <dcterms:modified xsi:type="dcterms:W3CDTF">2026-05-29T04:28:26.519Z</dcterms:modified>
</cp:coreProperties>
</file>

<file path=docProps/custom.xml><?xml version="1.0" encoding="utf-8"?>
<Properties xmlns="http://schemas.openxmlformats.org/officeDocument/2006/custom-properties" xmlns:vt="http://schemas.openxmlformats.org/officeDocument/2006/docPropsVTypes"/>
</file>