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753E7" w14:textId="77777777" w:rsidR="00291314" w:rsidRDefault="00291314" w:rsidP="00291314">
      <w:pPr>
        <w:spacing w:after="80"/>
        <w:jc w:val="center"/>
      </w:pPr>
      <w:r>
        <w:rPr>
          <w:b/>
          <w:bCs/>
          <w:sz w:val="32"/>
          <w:szCs w:val="32"/>
        </w:rPr>
        <w:t>ANEXO A</w:t>
      </w:r>
    </w:p>
    <w:p w14:paraId="7E1AC69E" w14:textId="77777777" w:rsidR="00291314" w:rsidRDefault="00291314" w:rsidP="00291314">
      <w:pPr>
        <w:spacing w:after="80"/>
        <w:jc w:val="center"/>
      </w:pPr>
      <w:r>
        <w:rPr>
          <w:b/>
          <w:bCs/>
          <w:sz w:val="32"/>
          <w:szCs w:val="32"/>
        </w:rPr>
        <w:t>Referencias</w:t>
      </w:r>
    </w:p>
    <w:p w14:paraId="6442856C" w14:textId="77777777" w:rsidR="00291314" w:rsidRDefault="00291314" w:rsidP="00291314">
      <w:pPr>
        <w:spacing w:after="400"/>
        <w:jc w:val="center"/>
      </w:pPr>
      <w:r>
        <w:rPr>
          <w:i/>
          <w:iCs/>
          <w:color w:val="666666"/>
        </w:rPr>
        <w:t>Versión 2  ·  Junio 2026</w:t>
      </w:r>
    </w:p>
    <w:p w14:paraId="67055AF8" w14:textId="77777777" w:rsidR="00291314" w:rsidRDefault="00291314" w:rsidP="00291314">
      <w:pPr>
        <w:spacing w:after="300"/>
        <w:jc w:val="both"/>
      </w:pPr>
      <w:r>
        <w:rPr>
          <w:i/>
          <w:iCs/>
        </w:rPr>
        <w:t>Referencias bibliográficas citadas a lo largo de los capítulos de la tesis, deduplicadas y ordenadas alfabéticamente según las normas APA 7ª edición.</w:t>
      </w:r>
    </w:p>
    <w:p w14:paraId="537FDB05" w14:textId="77777777" w:rsidR="00291314" w:rsidRDefault="00291314" w:rsidP="00291314">
      <w:pPr>
        <w:spacing w:after="160" w:line="360" w:lineRule="auto"/>
        <w:ind w:left="720" w:hanging="720"/>
        <w:jc w:val="both"/>
      </w:pPr>
      <w:r>
        <w:t>Acharya, U. R., Joseph, K. P., Kannathal, N., Lim, C. M., &amp; Suri, J. S. (2006). Heart rate variability: a review. Medical and Biological Engineering and Computing, 44(12), 1031–1051. https://doi.org/10.1007/s11517-006-0119-0</w:t>
      </w:r>
    </w:p>
    <w:p w14:paraId="6B02437A" w14:textId="77777777" w:rsidR="00291314" w:rsidRDefault="00291314" w:rsidP="00291314">
      <w:pPr>
        <w:spacing w:after="160" w:line="360" w:lineRule="auto"/>
        <w:ind w:left="720" w:hanging="720"/>
        <w:jc w:val="both"/>
      </w:pPr>
      <w:r>
        <w:t>Álvarez, D., Gutiérrez-Tobal, G. C., Vaquerizo-Villar, F., et al. (2022). Oximetry indices in the management of sleep apnea: from overnight minimum saturation to the novel hypoxemia measures. Advances in Experimental Medicine and Biology. https://pubmed.ncbi.nlm.nih.gov/36217087</w:t>
      </w:r>
    </w:p>
    <w:p w14:paraId="50E39867" w14:textId="77777777" w:rsidR="00291314" w:rsidRDefault="00291314" w:rsidP="00291314">
      <w:pPr>
        <w:spacing w:after="160" w:line="360" w:lineRule="auto"/>
        <w:ind w:left="720" w:hanging="720"/>
        <w:jc w:val="both"/>
      </w:pPr>
      <w:r>
        <w:t>Ancoli-Israel, S., Cole, R., Alessi, C., Chambers, M., Moorcroft, W., &amp; Pollak, C. P. (2003). The role of actigraphy in the study of sleep and circadian rhythms. Sleep, 26(3), 342–392. https://doi.org/10.1093/sleep/26.3.342</w:t>
      </w:r>
    </w:p>
    <w:p w14:paraId="465A95A3" w14:textId="77777777" w:rsidR="00291314" w:rsidRDefault="00291314" w:rsidP="00291314">
      <w:pPr>
        <w:spacing w:after="160" w:line="360" w:lineRule="auto"/>
        <w:ind w:left="720" w:hanging="720"/>
        <w:jc w:val="both"/>
      </w:pPr>
      <w:r>
        <w:t>Anthropic. (2024). Claude: un asistente de IA por Anthropic. https://www.anthropic.com</w:t>
      </w:r>
    </w:p>
    <w:p w14:paraId="1C2B6F79" w14:textId="77777777" w:rsidR="00291314" w:rsidRDefault="00291314" w:rsidP="00291314">
      <w:pPr>
        <w:spacing w:after="160" w:line="360" w:lineRule="auto"/>
        <w:ind w:left="720" w:hanging="720"/>
        <w:jc w:val="both"/>
      </w:pPr>
      <w:r>
        <w:t>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European Heart Journal, 40(14), 1149–1157. https://doi.org/10.1093/eurheartj/ehy624</w:t>
      </w:r>
    </w:p>
    <w:p w14:paraId="496045F4" w14:textId="77777777" w:rsidR="00291314" w:rsidRDefault="00291314" w:rsidP="00291314">
      <w:pPr>
        <w:spacing w:after="160" w:line="360" w:lineRule="auto"/>
        <w:ind w:left="720" w:hanging="720"/>
        <w:jc w:val="both"/>
      </w:pPr>
      <w:r>
        <w:t>Bailly, S., Destors, M., Grillet, Y., Richard, P., Stach, B., Vivodtzev, I., Timsit, J.-F., Lévy, P., Tamisier, R., &amp; Pépin, J.-L. (2016). Obstructive sleep apnea: a cluster analysis at time of diagnosis. PLoS One, 11(6), e0157318. https://doi.org/10.1371/journal.pone.0157318</w:t>
      </w:r>
    </w:p>
    <w:p w14:paraId="0D68890C" w14:textId="77777777" w:rsidR="00291314" w:rsidRDefault="00291314" w:rsidP="00291314">
      <w:pPr>
        <w:spacing w:after="160" w:line="360" w:lineRule="auto"/>
        <w:ind w:left="720" w:hanging="720"/>
        <w:jc w:val="both"/>
      </w:pPr>
      <w:r>
        <w:t>Behar, J. A., Palmius, N., Li, Q., Garber, M., Nagaraj, S. B., &amp; Clifford, G. D. (2019). Feasibility of single channel oximetry for mass screening of obstructive sleep apnea. EClinicalMedicine, 11, 81–88. https://doi.org/10.1016/j.eclinm.2019.05.009</w:t>
      </w:r>
    </w:p>
    <w:p w14:paraId="7E5E37F2" w14:textId="77777777" w:rsidR="00291314" w:rsidRDefault="00291314" w:rsidP="00291314">
      <w:pPr>
        <w:spacing w:after="160" w:line="360" w:lineRule="auto"/>
        <w:ind w:left="720" w:hanging="720"/>
        <w:jc w:val="both"/>
      </w:pPr>
      <w:r>
        <w:lastRenderedPageBreak/>
        <w:t>Benjafield, A. V., Ayas, N. T., Eastwood, P. R., Heinzer, R., Ip, M. S. M., Morrell, M. J., Nunez, C. M., Patel, S. R., Penzel, T., Pépin, J. L., Peppard, P. E., Sinha, S., Tufik, S., Valentine, K., &amp; Malhotra, A. (2019). Estimation of the global prevalence and burden of obstructive sleep apnoea: a literature-based analysis. The Lancet Respiratory Medicine, 7(8), 687–698. https://doi.org/10.1016/S2213-2600(19)30198-5</w:t>
      </w:r>
    </w:p>
    <w:p w14:paraId="7F952DA8" w14:textId="77777777" w:rsidR="00291314" w:rsidRDefault="00291314" w:rsidP="00291314">
      <w:pPr>
        <w:spacing w:after="160" w:line="360" w:lineRule="auto"/>
        <w:ind w:left="720" w:hanging="720"/>
        <w:jc w:val="both"/>
      </w:pPr>
      <w:r>
        <w:t>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Journal of Clinical Sleep Medicine, 8(5), 597–619. https://doi.org/10.5664/jcsm.2172</w:t>
      </w:r>
    </w:p>
    <w:p w14:paraId="190571B5" w14:textId="77777777" w:rsidR="00291314" w:rsidRDefault="00291314" w:rsidP="00291314">
      <w:pPr>
        <w:spacing w:after="160" w:line="360" w:lineRule="auto"/>
        <w:ind w:left="720" w:hanging="720"/>
        <w:jc w:val="both"/>
      </w:pPr>
      <w:r>
        <w:t>Biedebach, L., Ferreira-Santos, D., Stefanos, M. A., et al. (2025). Unsupervised machine learning in sleep research: a scoping review. Sleep. https://pubmed.ncbi.nlm.nih.gov/40719375</w:t>
      </w:r>
    </w:p>
    <w:p w14:paraId="00E7E0FC" w14:textId="77777777" w:rsidR="00291314" w:rsidRDefault="00291314" w:rsidP="00291314">
      <w:pPr>
        <w:spacing w:after="160" w:line="360" w:lineRule="auto"/>
        <w:ind w:left="720" w:hanging="720"/>
        <w:jc w:val="both"/>
      </w:pPr>
      <w:r>
        <w:t>Bittencourt, L. R. A., Suchecki, D., Tufik, S., Peres, C., Togeiro, S. M., Bagnato, M. C., &amp; Nery, L. E. (2001). The variability of the apnoea-hypopnoea index. Journal of Sleep Research, 10(3), 245–251. https://doi.org/10.1046/j.1365-2869.2001.00255.x</w:t>
      </w:r>
    </w:p>
    <w:p w14:paraId="5AAEC7D0" w14:textId="77777777" w:rsidR="00291314" w:rsidRDefault="00291314" w:rsidP="00291314">
      <w:pPr>
        <w:spacing w:after="160" w:line="360" w:lineRule="auto"/>
        <w:ind w:left="720" w:hanging="720"/>
        <w:jc w:val="both"/>
      </w:pPr>
      <w:r>
        <w:t>Bland, J. M., &amp; Altman, D. G. (1986). Statistical methods for assessing agreement between two methods of clinical measurement. The Lancet, 327(8476), 307–310. https://doi.org/10.1016/S0140-6736(86)90837-8</w:t>
      </w:r>
    </w:p>
    <w:p w14:paraId="7E344D1A" w14:textId="77777777" w:rsidR="00291314" w:rsidRDefault="00291314" w:rsidP="00291314">
      <w:pPr>
        <w:spacing w:after="160" w:line="360" w:lineRule="auto"/>
        <w:ind w:left="720" w:hanging="720"/>
        <w:jc w:val="both"/>
      </w:pPr>
      <w:r>
        <w:t>Bonsignore, M. R., Baiamonte, P., Mazzuca, E., Castrogiovanni, A., &amp; Marrone, O. (2019). Obstructive sleep apnea and comorbidities: a dangerous liaison. Multidisciplinary Respiratory Medicine, 14(1), 8. https://doi.org/10.1186/s40248-019-0172-9</w:t>
      </w:r>
    </w:p>
    <w:p w14:paraId="377EE23F" w14:textId="77777777" w:rsidR="00291314" w:rsidRDefault="00291314" w:rsidP="00291314">
      <w:pPr>
        <w:spacing w:after="160" w:line="360" w:lineRule="auto"/>
        <w:ind w:left="720" w:hanging="720"/>
        <w:jc w:val="both"/>
      </w:pPr>
      <w:r>
        <w:t>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14:paraId="19BA51D9" w14:textId="77777777" w:rsidR="00291314" w:rsidRDefault="00291314" w:rsidP="00291314">
      <w:pPr>
        <w:spacing w:after="160" w:line="360" w:lineRule="auto"/>
        <w:ind w:left="720" w:hanging="720"/>
        <w:jc w:val="both"/>
      </w:pPr>
      <w:r>
        <w:lastRenderedPageBreak/>
        <w:t>Cai, C. J., Winter, S., Steiner, D., Wilcox, L., &amp; Terry, M. (2019). "Hello AI": uncovering the onboarding needs of medical practitioners for human-AI collaborative decision-making. Proceedings of the ACM on Human-Computer Interaction, 3(CSCW), 1–24. https://doi.org/10.1145/3359206</w:t>
      </w:r>
    </w:p>
    <w:p w14:paraId="1BE2A5D6" w14:textId="77777777" w:rsidR="00291314" w:rsidRDefault="00291314" w:rsidP="00291314">
      <w:pPr>
        <w:spacing w:after="160" w:line="360" w:lineRule="auto"/>
        <w:ind w:left="720" w:hanging="720"/>
        <w:jc w:val="both"/>
      </w:pPr>
      <w:r>
        <w:t>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14:paraId="6100B877" w14:textId="77777777" w:rsidR="00291314" w:rsidRDefault="00291314" w:rsidP="00291314">
      <w:pPr>
        <w:spacing w:after="160" w:line="360" w:lineRule="auto"/>
        <w:ind w:left="720" w:hanging="720"/>
        <w:jc w:val="both"/>
      </w:pPr>
      <w:r>
        <w:t>Collins, G. S., Reitsma, J. B., Altman, D. G., &amp; Moons, K. G. (2015). Transparent reporting of a multivariable prediction model for individual prognosis or diagnosis (TRIPOD): the TRIPOD statement. BMJ, 350, g7594. https://doi.org/10.1136/bmj.g7594</w:t>
      </w:r>
    </w:p>
    <w:p w14:paraId="73B19022" w14:textId="77777777" w:rsidR="00291314" w:rsidRDefault="00291314" w:rsidP="00291314">
      <w:pPr>
        <w:spacing w:after="160" w:line="360" w:lineRule="auto"/>
        <w:ind w:left="720" w:hanging="720"/>
        <w:jc w:val="both"/>
      </w:pPr>
      <w:r>
        <w:t>Collop, N. A., Anderson, W. M., Boehlecke, B., Claman, D., Goldberg, R., Gottlieb, D. J., Hudgel, D., Sateia, M., &amp; Schwab, R. (2007). Clinical guidelines for the use of unattended portable monitors in the diagnosis of obstructive sleep apnea in adult patients. Journal of Clinical Sleep Medicine, 3(7), 737–747. https://doi.org/10.5664/jcsm.26999</w:t>
      </w:r>
    </w:p>
    <w:p w14:paraId="7DF35F8F" w14:textId="77777777" w:rsidR="00291314" w:rsidRDefault="00291314" w:rsidP="00291314">
      <w:pPr>
        <w:spacing w:after="160" w:line="360" w:lineRule="auto"/>
        <w:ind w:left="720" w:hanging="720"/>
        <w:jc w:val="both"/>
      </w:pPr>
      <w:r>
        <w:t>de Chazal, P., O'Dwyer, M., &amp; Reilly, R. B. (2004). Automatic classification of heartbeats using ECG morphology and heartbeat interval features. IEEE Transactions on Biomedical Engineering, 51(7), 1196–1206. https://doi.org/10.1109/TBME.2004.827359</w:t>
      </w:r>
    </w:p>
    <w:p w14:paraId="7CA5F0D9" w14:textId="77777777" w:rsidR="00291314" w:rsidRDefault="00291314" w:rsidP="00291314">
      <w:pPr>
        <w:spacing w:after="160" w:line="360" w:lineRule="auto"/>
        <w:ind w:left="720" w:hanging="720"/>
        <w:jc w:val="both"/>
      </w:pPr>
      <w:r>
        <w:t>Dempsey, J. A., Veasna, P., Morgan, B. J., &amp; O'Donnell, C. P. (2010). Pathophysiology of sleep apnea. Physiological Reviews, 90(1), 47–112. https://doi.org/10.1152/physrev.00043.2008</w:t>
      </w:r>
    </w:p>
    <w:p w14:paraId="0515B770" w14:textId="77777777" w:rsidR="00291314" w:rsidRDefault="00291314" w:rsidP="00291314">
      <w:pPr>
        <w:spacing w:after="160" w:line="360" w:lineRule="auto"/>
        <w:ind w:left="720" w:hanging="720"/>
        <w:jc w:val="both"/>
      </w:pPr>
      <w:r>
        <w:t>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14:paraId="2D2AE7E1" w14:textId="77777777" w:rsidR="00291314" w:rsidRDefault="00291314" w:rsidP="00291314">
      <w:pPr>
        <w:spacing w:after="160" w:line="360" w:lineRule="auto"/>
        <w:ind w:left="720" w:hanging="720"/>
        <w:jc w:val="both"/>
      </w:pPr>
      <w:r>
        <w:t xml:space="preserve">Eckert, D. J., White, D. P., Jordan, A. S., Malhotra, A., &amp; Wellman, A. (2013). Defining phenotypic causes of obstructive sleep apnea: identification of novel therapeutic </w:t>
      </w:r>
      <w:r>
        <w:lastRenderedPageBreak/>
        <w:t>targets. American Journal of Respiratory and Critical Care Medicine, 188(8), 996–1004. https://doi.org/10.1164/rccm.201303-0448OC</w:t>
      </w:r>
    </w:p>
    <w:p w14:paraId="620E724F" w14:textId="77777777" w:rsidR="00291314" w:rsidRDefault="00291314" w:rsidP="00291314">
      <w:pPr>
        <w:spacing w:after="160" w:line="360" w:lineRule="auto"/>
        <w:ind w:left="720" w:hanging="720"/>
        <w:jc w:val="both"/>
      </w:pPr>
      <w:r>
        <w:t>Efron, B., &amp; Tibshirani, R. J. (1993). An introduction to the bootstrap. Chapman &amp; Hall/CRC. https://doi.org/10.1201/9780429246593</w:t>
      </w:r>
    </w:p>
    <w:p w14:paraId="5F443D27" w14:textId="77777777" w:rsidR="00291314" w:rsidRDefault="00291314" w:rsidP="00291314">
      <w:pPr>
        <w:spacing w:after="160" w:line="360" w:lineRule="auto"/>
        <w:ind w:left="720" w:hanging="720"/>
        <w:jc w:val="both"/>
      </w:pPr>
      <w:r>
        <w:t>Goldberger, A. L., Amaral, L. A. N., Hausdorff, J. M., Ivanov, P. Ch., Peng, C.-K., &amp; Stanley, H. E. (2002). Fractal dynamics in physiology: alterations with disease and aging. Proceedings of the National Academy of Sciences, 99(Suppl 1), 2466–2472. https://doi.org/10.1073/pnas.012579499</w:t>
      </w:r>
    </w:p>
    <w:p w14:paraId="57EAF60E" w14:textId="77777777" w:rsidR="00291314" w:rsidRDefault="00291314" w:rsidP="00291314">
      <w:pPr>
        <w:spacing w:after="160" w:line="360" w:lineRule="auto"/>
        <w:ind w:left="720" w:hanging="720"/>
        <w:jc w:val="both"/>
      </w:pPr>
      <w:r>
        <w:t>Hosmer, D. W., Lemeshow, S., &amp; Sturdivant, R. X. (2013). Applied logistic regression (3rd ed.). Wiley. https://doi.org/10.1002/9781118548387</w:t>
      </w:r>
    </w:p>
    <w:p w14:paraId="6BEE5EB6" w14:textId="77777777" w:rsidR="00291314" w:rsidRDefault="00291314" w:rsidP="00291314">
      <w:pPr>
        <w:spacing w:after="160" w:line="360" w:lineRule="auto"/>
        <w:ind w:left="720" w:hanging="720"/>
        <w:jc w:val="both"/>
      </w:pPr>
      <w:r>
        <w:t>Inza, R., et al. (2026). Fenotipado morfológico y respuesta autonómica en eventos de desaturación nocturna: el Índice de Reactividad Autonómica (ARI). Manuscrito enviado para publicación. [T1]</w:t>
      </w:r>
    </w:p>
    <w:p w14:paraId="32B44DFA" w14:textId="77777777" w:rsidR="00291314" w:rsidRDefault="00291314" w:rsidP="00291314">
      <w:pPr>
        <w:spacing w:after="160" w:line="360" w:lineRule="auto"/>
        <w:ind w:left="720" w:hanging="720"/>
        <w:jc w:val="both"/>
      </w:pPr>
      <w:r>
        <w:t>Inza, R., et al. (en preparación). Estados dinámicos multiescala de la fisiología respiratoria nocturna: morfotipos, carga hipóxica y reactividad autonómica. [T2]</w:t>
      </w:r>
    </w:p>
    <w:p w14:paraId="4A202BD6" w14:textId="77777777" w:rsidR="00291314" w:rsidRDefault="00291314" w:rsidP="00291314">
      <w:pPr>
        <w:spacing w:after="160" w:line="360" w:lineRule="auto"/>
        <w:ind w:left="720" w:hanging="720"/>
        <w:jc w:val="both"/>
      </w:pPr>
      <w:r>
        <w:t>Inza, R., et al. (en preparación). Acoplamiento morfotipo–estado y modelado predictivo basado en representaciones PAC. [T3]</w:t>
      </w:r>
    </w:p>
    <w:p w14:paraId="4F3E9D8A" w14:textId="77777777" w:rsidR="00291314" w:rsidRDefault="00291314" w:rsidP="00291314">
      <w:pPr>
        <w:spacing w:after="160" w:line="360" w:lineRule="auto"/>
        <w:ind w:left="720" w:hanging="720"/>
        <w:jc w:val="both"/>
      </w:pPr>
      <w:r>
        <w:t>Inza, R., et al. (en preparación). Predicción prospectiva de eventos de desaturación severa con horizonte temporal clínico mediante representaciones PAC. [T4]</w:t>
      </w:r>
    </w:p>
    <w:p w14:paraId="302E8715" w14:textId="77777777" w:rsidR="00291314" w:rsidRDefault="00291314" w:rsidP="00291314">
      <w:pPr>
        <w:spacing w:after="160" w:line="360" w:lineRule="auto"/>
        <w:ind w:left="720" w:hanging="720"/>
        <w:jc w:val="both"/>
      </w:pPr>
      <w:r>
        <w:t>Jolliffe, I. T. (2002). Principal component analysis (2nd ed.). Springer.</w:t>
      </w:r>
    </w:p>
    <w:p w14:paraId="04010334" w14:textId="77777777" w:rsidR="00291314" w:rsidRDefault="00291314" w:rsidP="00291314">
      <w:pPr>
        <w:spacing w:after="160" w:line="360" w:lineRule="auto"/>
        <w:ind w:left="720" w:hanging="720"/>
        <w:jc w:val="both"/>
      </w:pPr>
      <w:r>
        <w:t>Kapur, V. K., Auckley, D. H., Chowdhuri, S., Kuhlmann, D. C., Mehra, R., Ramar, K., &amp; Harrod, C. G. (2017). Clinical practice guideline for diagnostic testing for adult obstructive sleep apnea: an American Academy of Sleep Medicine clinical practice guideline. Journal of Clinical Sleep Medicine, 13(3), 479–504. https://doi.org/10.5664/jcsm.6506</w:t>
      </w:r>
    </w:p>
    <w:p w14:paraId="35E49BD0" w14:textId="77777777" w:rsidR="00291314" w:rsidRDefault="00291314" w:rsidP="00291314">
      <w:pPr>
        <w:spacing w:after="160" w:line="360" w:lineRule="auto"/>
        <w:ind w:left="720" w:hanging="720"/>
        <w:jc w:val="both"/>
      </w:pPr>
      <w:r>
        <w:t>Ke, G., Meng, Q., Finley, T., Wang, T., Chen, W., Ma, W., Ye, Q., &amp; Liu, T.-Y. (2017). LightGBM: A highly efficient gradient boosting decision tree. Advances in Neural Information Processing Systems, 30, 3146–3154.</w:t>
      </w:r>
    </w:p>
    <w:p w14:paraId="1E3A3DB3" w14:textId="77777777" w:rsidR="00291314" w:rsidRDefault="00291314" w:rsidP="00291314">
      <w:pPr>
        <w:spacing w:after="160" w:line="360" w:lineRule="auto"/>
        <w:ind w:left="720" w:hanging="720"/>
        <w:jc w:val="both"/>
      </w:pPr>
      <w:r>
        <w:lastRenderedPageBreak/>
        <w:t>Koo, T. K., &amp; Li, M. Y. (2016). A guideline of selecting and reporting intraclass correlation coefficients for reliability research. Journal of Chiropractic Medicine, 15(2), 155–163. https://doi.org/10.1016/j.jcm.2016.02.012</w:t>
      </w:r>
    </w:p>
    <w:p w14:paraId="3B5DCC47" w14:textId="77777777" w:rsidR="00291314" w:rsidRDefault="00291314" w:rsidP="00291314">
      <w:pPr>
        <w:spacing w:after="160" w:line="360" w:lineRule="auto"/>
        <w:ind w:left="720" w:hanging="720"/>
        <w:jc w:val="both"/>
      </w:pPr>
      <w:r>
        <w:t>Landis, J. R., &amp; Koch, G. G. (1977). The measurement of observer agreement for categorical data. Biometrics, 33(1), 159–174. https://doi.org/10.2307/2529310</w:t>
      </w:r>
    </w:p>
    <w:p w14:paraId="187287E0" w14:textId="77777777" w:rsidR="00291314" w:rsidRDefault="00291314" w:rsidP="00291314">
      <w:pPr>
        <w:spacing w:after="160" w:line="360" w:lineRule="auto"/>
        <w:ind w:left="720" w:hanging="720"/>
        <w:jc w:val="both"/>
      </w:pPr>
      <w:r>
        <w:t>Levendowski, D. J., Zack, N., Rao, S., Wong, K., Blackwell, T., Cavazzos, J., Hewes, R. T., &amp; Westbrook, P. (2009). Assessment of the test-retest reliability of laboratory polysomnography. Sleep and Breathing, 13(2), 163–167. https://doi.org/10.1007/s11325-008-0214-6</w:t>
      </w:r>
    </w:p>
    <w:p w14:paraId="7CD36C2C" w14:textId="77777777" w:rsidR="00291314" w:rsidRDefault="00291314" w:rsidP="00291314">
      <w:pPr>
        <w:spacing w:after="160" w:line="360" w:lineRule="auto"/>
        <w:ind w:left="720" w:hanging="720"/>
        <w:jc w:val="both"/>
      </w:pPr>
      <w:r>
        <w:t>Lévy, P., Kohler, M., McNicholas, W. T., Barbé, F., McEvoy, R. D., Somers, V. K., ... &amp; Pépin, J.-L. (2015). Obstructive sleep apnoea syndrome. Nature Reviews Disease Primers, 1, 15015. https://doi.org/10.1038/nrdp.2015.15</w:t>
      </w:r>
    </w:p>
    <w:p w14:paraId="55E9BEFB" w14:textId="77777777" w:rsidR="00291314" w:rsidRDefault="00291314" w:rsidP="00291314">
      <w:pPr>
        <w:spacing w:after="160" w:line="360" w:lineRule="auto"/>
        <w:ind w:left="720" w:hanging="720"/>
        <w:jc w:val="both"/>
      </w:pPr>
      <w:r>
        <w:t>Linz, D., McEvoy, R. D., Cowie, M. R., Somers, V. K., Nattel, S., Lévy, P., ... &amp; Sanders, P. (2018). Associations of obstructive sleep apnea with atrial fibrillation, stroke, sudden cardiac death, and mortality: a review. JAMA Cardiology, 3(6), 532–540. https://doi.org/10.1001/jamacardio.2018.0823</w:t>
      </w:r>
    </w:p>
    <w:p w14:paraId="03508BB6" w14:textId="77777777" w:rsidR="00291314" w:rsidRDefault="00291314" w:rsidP="00291314">
      <w:pPr>
        <w:spacing w:after="160" w:line="360" w:lineRule="auto"/>
        <w:ind w:left="720" w:hanging="720"/>
        <w:jc w:val="both"/>
      </w:pPr>
      <w:r>
        <w:t>Lundberg, S. M., &amp; Lee, S.-I. (2017). A unified approach to interpreting model predictions. Advances in Neural Information Processing Systems, 30, 4765–4774.</w:t>
      </w:r>
    </w:p>
    <w:p w14:paraId="440C8781" w14:textId="77777777" w:rsidR="00291314" w:rsidRDefault="00291314" w:rsidP="00291314">
      <w:pPr>
        <w:spacing w:after="160" w:line="360" w:lineRule="auto"/>
        <w:ind w:left="720" w:hanging="720"/>
        <w:jc w:val="both"/>
      </w:pPr>
      <w:r>
        <w:t>MacQueen, J. (1967). Some methods for classification and analysis of multivariate observations. Proceedings of the Fifth Berkeley Symposium on Mathematical Statistics and Probability, 1, 281–297.</w:t>
      </w:r>
    </w:p>
    <w:p w14:paraId="2FB73729" w14:textId="77777777" w:rsidR="00291314" w:rsidRDefault="00291314" w:rsidP="00291314">
      <w:pPr>
        <w:spacing w:after="160" w:line="360" w:lineRule="auto"/>
        <w:ind w:left="720" w:hanging="720"/>
        <w:jc w:val="both"/>
      </w:pPr>
      <w:r>
        <w:t>Malhotra, A., Ayappa, I., Ayas, N., Collop, N., Hopps, D., Jackson, N., Javaheri, S., Khosla, S., Patel, S. R., Punjabi, N. M., Somers, V. K., Strollo, P. J., Strohl, K. P., Weaver, T. E., &amp; Yaggi, H. K. (2021). Metrics of sleep apnea severity: beyond the apnea-hypopnea index. Sleep, 44(7), zsab030. https://doi.org/10.1093/sleep/zsab030</w:t>
      </w:r>
    </w:p>
    <w:p w14:paraId="22CBDB77" w14:textId="77777777" w:rsidR="00291314" w:rsidRDefault="00291314" w:rsidP="00291314">
      <w:pPr>
        <w:spacing w:after="160" w:line="360" w:lineRule="auto"/>
        <w:ind w:left="720" w:hanging="720"/>
        <w:jc w:val="both"/>
      </w:pPr>
      <w:r>
        <w:t>Marin, J. M., Carrizo, S. J., Vicente, E., &amp; Agusti, A. G. N. (2005). Long-term cardiovascular outcomes in men with obstructive sleep apnoea-hypopnoea with or without treatment with continuous positive airway pressure: an observational study. The Lancet, 365(9464), 1046–1053. https://doi.org/10.1016/S0140-6736(05)71141-7</w:t>
      </w:r>
    </w:p>
    <w:p w14:paraId="01AF2738" w14:textId="77777777" w:rsidR="00291314" w:rsidRDefault="00291314" w:rsidP="00291314">
      <w:pPr>
        <w:spacing w:after="160" w:line="360" w:lineRule="auto"/>
        <w:ind w:left="720" w:hanging="720"/>
        <w:jc w:val="both"/>
      </w:pPr>
      <w:r>
        <w:lastRenderedPageBreak/>
        <w:t>Masa, J. F., Corral, J., Pereira, R., Duran-Cantolla, J., Cabello, M., Hernández-Blasco, L., … &amp; Montserrat, J. M. (2011). Effectiveness of home respiratory polygraphy for the diagnosis of sleep apnoea and hypopnoea syndrome. Thorax, 66(7), 567–573. https://doi.org/10.1136/thx.2010.152272</w:t>
      </w:r>
    </w:p>
    <w:p w14:paraId="378051A8" w14:textId="77777777" w:rsidR="00291314" w:rsidRDefault="00291314" w:rsidP="00291314">
      <w:pPr>
        <w:spacing w:after="160" w:line="360" w:lineRule="auto"/>
        <w:ind w:left="720" w:hanging="720"/>
        <w:jc w:val="both"/>
      </w:pPr>
      <w:r>
        <w:t>McKinney, W. (2010). Data structures for statistical computing in Python. Proceedings of the 9th Python in Science Conference, 56–61. https://doi.org/10.25080/Majora-92bf1922-00a</w:t>
      </w:r>
    </w:p>
    <w:p w14:paraId="50C96A5B" w14:textId="77777777" w:rsidR="00291314" w:rsidRDefault="00291314" w:rsidP="00291314">
      <w:pPr>
        <w:spacing w:after="160" w:line="360" w:lineRule="auto"/>
        <w:ind w:left="720" w:hanging="720"/>
        <w:jc w:val="both"/>
      </w:pPr>
      <w:r>
        <w:t>Narkiewicz, K., &amp; Somers, V. K. (2003). Sympathetic nerve activity in obstructive sleep apnoea. Acta Physiologica Scandinavica, 177(3), 385–390. https://doi.org/10.1046/j.1365-201X.2003.01091.x</w:t>
      </w:r>
    </w:p>
    <w:p w14:paraId="5A020B1C" w14:textId="77777777" w:rsidR="00291314" w:rsidRDefault="00291314" w:rsidP="00291314">
      <w:pPr>
        <w:spacing w:after="160" w:line="360" w:lineRule="auto"/>
        <w:ind w:left="720" w:hanging="720"/>
        <w:jc w:val="both"/>
      </w:pPr>
      <w:r>
        <w:t>Niculescu-Mizil, A., &amp; Caruana, R. (2005). Predicting good probabilities with supervised learning. Proceedings of the 22nd International Conference on Machine Learning (ICML), 625–632. https://doi.org/10.1145/1102351.1102430</w:t>
      </w:r>
    </w:p>
    <w:p w14:paraId="1B711A26" w14:textId="77777777" w:rsidR="00291314" w:rsidRDefault="00291314" w:rsidP="00291314">
      <w:pPr>
        <w:spacing w:after="160" w:line="360" w:lineRule="auto"/>
        <w:ind w:left="720" w:hanging="720"/>
        <w:jc w:val="both"/>
      </w:pPr>
      <w:r>
        <w:t>Nieto, F. J., Young, T. B., Lind, B. K., Shahar, E., Samet, J. M., Redline, S., ... &amp; Pickering, T. G. (2000). Association of sleep-disordered breathing, sleep apnea, and hypertension in a large community-based study. JAMA, 283(14), 1829–1836. https://doi.org/10.1001/jama.283.14.1829</w:t>
      </w:r>
    </w:p>
    <w:p w14:paraId="5D04E9A3" w14:textId="77777777" w:rsidR="00291314" w:rsidRDefault="00291314" w:rsidP="00291314">
      <w:pPr>
        <w:spacing w:after="160" w:line="360" w:lineRule="auto"/>
        <w:ind w:left="720" w:hanging="720"/>
        <w:jc w:val="both"/>
      </w:pPr>
      <w:r>
        <w:t>Norris, J. R. (1997). Markov chains. Cambridge University Press. https://doi.org/10.1017/CBO9780511810633</w:t>
      </w:r>
    </w:p>
    <w:p w14:paraId="2083F725" w14:textId="77777777" w:rsidR="00291314" w:rsidRDefault="00291314" w:rsidP="00291314">
      <w:pPr>
        <w:spacing w:after="160" w:line="360" w:lineRule="auto"/>
        <w:ind w:left="720" w:hanging="720"/>
        <w:jc w:val="both"/>
      </w:pPr>
      <w:r>
        <w:t>Oliven, A., Tov, N., Brandspiegel, S., Steinfeld, U., &amp; Schwartz, A. R. (2020). Clustering of apneas in obstructive sleep apnea: significance and clinical relevance. Sleep, 43(9), zsaa046. https://doi.org/10.1093/sleep/zsaa046</w:t>
      </w:r>
    </w:p>
    <w:p w14:paraId="01AD139F" w14:textId="77777777" w:rsidR="00291314" w:rsidRDefault="00291314" w:rsidP="00291314">
      <w:pPr>
        <w:spacing w:after="160" w:line="360" w:lineRule="auto"/>
        <w:ind w:left="720" w:hanging="720"/>
        <w:jc w:val="both"/>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67D671AF" w14:textId="77777777" w:rsidR="00291314" w:rsidRDefault="00291314" w:rsidP="00291314">
      <w:pPr>
        <w:spacing w:after="160" w:line="360" w:lineRule="auto"/>
        <w:ind w:left="720" w:hanging="720"/>
        <w:jc w:val="both"/>
      </w:pPr>
      <w:r>
        <w:t xml:space="preserve">Penzel, T., Kantelhardt, J. W., Bartsch, R. P., Riedl, M., Kraemer, J. F., Wessel, N., … &amp; Schöbel, C. (2016). Modulations of heart rate, ECG, and cardio-respiratory coupling </w:t>
      </w:r>
      <w:r>
        <w:lastRenderedPageBreak/>
        <w:t>observed in polysomnography. Frontiers in Physiology, 7, 460. https://doi.org/10.3389/fphys.2016.00460</w:t>
      </w:r>
    </w:p>
    <w:p w14:paraId="28D425E3" w14:textId="77777777" w:rsidR="00291314" w:rsidRDefault="00291314" w:rsidP="00291314">
      <w:pPr>
        <w:spacing w:after="160" w:line="360" w:lineRule="auto"/>
        <w:ind w:left="720" w:hanging="720"/>
        <w:jc w:val="both"/>
      </w:pPr>
      <w:r>
        <w:t>Peppard, P. E., Young, T., Barnet, J. H., Palta, M., Hagen, E. W., &amp; Hla, K. M. (2013). Increased prevalence of sleep-disordered breathing in adults. American Journal of Epidemiology, 177(9), 1006–1014. https://doi.org/10.1093/aje/kws342</w:t>
      </w:r>
    </w:p>
    <w:p w14:paraId="6DBE41BD" w14:textId="77777777" w:rsidR="00291314" w:rsidRDefault="00291314" w:rsidP="00291314">
      <w:pPr>
        <w:spacing w:after="160" w:line="360" w:lineRule="auto"/>
        <w:ind w:left="720" w:hanging="720"/>
        <w:jc w:val="both"/>
      </w:pPr>
      <w:r>
        <w:t>Plotly Technologies Inc. (2015). Collaborative data science. https://plot.ly</w:t>
      </w:r>
    </w:p>
    <w:p w14:paraId="36ECEC6B" w14:textId="77777777" w:rsidR="00291314" w:rsidRDefault="00291314" w:rsidP="00291314">
      <w:pPr>
        <w:spacing w:after="160" w:line="360" w:lineRule="auto"/>
        <w:ind w:left="720" w:hanging="720"/>
        <w:jc w:val="both"/>
      </w:pPr>
      <w:r>
        <w:t>Prabhakar, N. R. (2016a). Carotid body chemoreflex: a driver of autonomic abnormalities in sleep apnoea. Experimental Physiology, 101(3), 394–399. https://doi.org/10.1113/EP085601</w:t>
      </w:r>
    </w:p>
    <w:p w14:paraId="3A3688FB" w14:textId="77777777" w:rsidR="00291314" w:rsidRDefault="00291314" w:rsidP="00291314">
      <w:pPr>
        <w:spacing w:after="160" w:line="360" w:lineRule="auto"/>
        <w:ind w:left="720" w:hanging="720"/>
        <w:jc w:val="both"/>
      </w:pPr>
      <w:r>
        <w:t>Prabhakar, N. R. (2016b). Carotid body chemoreflex: a new frontier in the treatment of cardiorespiratory diseases. Advances in Experimental Medicine and Biology, 860, 53–63. https://doi.org/10.1007/978-3-319-18440-1_6</w:t>
      </w:r>
    </w:p>
    <w:p w14:paraId="5931E34B" w14:textId="77777777" w:rsidR="00291314" w:rsidRDefault="00291314" w:rsidP="00291314">
      <w:pPr>
        <w:spacing w:after="160" w:line="360" w:lineRule="auto"/>
        <w:ind w:left="720" w:hanging="720"/>
        <w:jc w:val="both"/>
      </w:pPr>
      <w:r>
        <w:t>Punjabi, N. M., Caffo, B. S., Goodwin, J. L., Gottlieb, D. J., Newman, A. B., O'Connor, G. T., Rapoport, D. M., Redline, S., Resnick, H. E., Robbins, J. A., Shahar, E., Unruh, M. L., &amp; Samet, J. M. (2009). Sleep-disordered breathing and mortality: a prospective cohort study. PLoS Medicine, 6(8), e1000132. https://doi.org/10.1371/journal.pmed.1000132</w:t>
      </w:r>
    </w:p>
    <w:p w14:paraId="69E9937A" w14:textId="77777777" w:rsidR="00291314" w:rsidRDefault="00291314" w:rsidP="00291314">
      <w:pPr>
        <w:spacing w:after="160" w:line="360" w:lineRule="auto"/>
        <w:ind w:left="720" w:hanging="720"/>
        <w:jc w:val="both"/>
      </w:pPr>
      <w: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14:paraId="40CBAA5A" w14:textId="77777777" w:rsidR="00291314" w:rsidRDefault="00291314" w:rsidP="00291314">
      <w:pPr>
        <w:spacing w:after="160" w:line="360" w:lineRule="auto"/>
        <w:ind w:left="720" w:hanging="720"/>
        <w:jc w:val="both"/>
      </w:pPr>
      <w:r>
        <w:t>Rousseeuw, P. J. (1987). Silhouettes: A graphical aid to the interpretation and validation of cluster analysis. Journal of Computational and Applied Mathematics, 20, 53–65. https://doi.org/10.1016/0377-0427(87)90125-7</w:t>
      </w:r>
    </w:p>
    <w:p w14:paraId="60532246" w14:textId="77777777" w:rsidR="00291314" w:rsidRDefault="00291314" w:rsidP="00291314">
      <w:pPr>
        <w:spacing w:after="160" w:line="360" w:lineRule="auto"/>
        <w:ind w:left="720" w:hanging="720"/>
        <w:jc w:val="both"/>
      </w:pPr>
      <w:r>
        <w:t>Saito, T., &amp; Rehmsmeier, M. (2015). The precision-recall plot is more informative than the ROC plot when evaluating binary classifiers on imbalanced datasets. PLOS ONE, 10(3), e0118432. https://doi.org/10.1371/journal.pone.0118432</w:t>
      </w:r>
    </w:p>
    <w:p w14:paraId="7056C0A0" w14:textId="77777777" w:rsidR="00291314" w:rsidRDefault="00291314" w:rsidP="00291314">
      <w:pPr>
        <w:spacing w:after="160" w:line="360" w:lineRule="auto"/>
        <w:ind w:left="720" w:hanging="720"/>
        <w:jc w:val="both"/>
      </w:pPr>
      <w:r>
        <w:lastRenderedPageBreak/>
        <w:t>Sands, S. A., Terrill, P. I., Edwards, B. A., Taranto-Montemurro, L., Azarbarzin, A., Nguyen, A. T., … &amp; Wellman, A. (2018). Quantifying the arousal threshold using polysomnography in obstructive sleep apnea. Sleep, 41(1), zsx183. https://doi.org/10.1093/sleep/zsx183</w:t>
      </w:r>
    </w:p>
    <w:p w14:paraId="4B28BB3A" w14:textId="77777777" w:rsidR="00291314" w:rsidRDefault="00291314" w:rsidP="00291314">
      <w:pPr>
        <w:spacing w:after="160" w:line="360" w:lineRule="auto"/>
        <w:ind w:left="720" w:hanging="720"/>
        <w:jc w:val="both"/>
      </w:pPr>
      <w:r>
        <w:t>Sendak, M. P., Elish, M. C., Gao, M., Futoma, J., Ratliff, W., Nichols, M., Bedoya, A., Balu, S., &amp; O'Brien, C. (2020). "The human body is a black box": supporting clinical decision-making with deep learning. Proceedings of the 2020 Conference on Fairness, Accountability, and Transparency, 99–109. https://doi.org/10.1145/3351095.3372827</w:t>
      </w:r>
    </w:p>
    <w:p w14:paraId="74A378B5" w14:textId="77777777" w:rsidR="00291314" w:rsidRDefault="00291314" w:rsidP="00291314">
      <w:pPr>
        <w:spacing w:after="160" w:line="360" w:lineRule="auto"/>
        <w:ind w:left="720" w:hanging="720"/>
        <w:jc w:val="both"/>
      </w:pPr>
      <w:r>
        <w:t>Shamsuzzaman, A. S. M., Gersh, B. J., &amp; Somers, V. K. (2003). Obstructive sleep apnea: implications for cardiac and vascular disease. JAMA, 290(14), 1906–1914. https://doi.org/10.1001/jama.290.14.1906</w:t>
      </w:r>
    </w:p>
    <w:p w14:paraId="3E5AB363" w14:textId="77777777" w:rsidR="00291314" w:rsidRDefault="00291314" w:rsidP="00291314">
      <w:pPr>
        <w:spacing w:after="160" w:line="360" w:lineRule="auto"/>
        <w:ind w:left="720" w:hanging="720"/>
        <w:jc w:val="both"/>
      </w:pPr>
      <w:r>
        <w:t>Shannon, C. E. (1948). A mathematical theory of communication. The Bell System Technical Journal, 27(3), 379–423. https://doi.org/10.1002/j.1538-7305.1948.tb01338.x</w:t>
      </w:r>
    </w:p>
    <w:p w14:paraId="38A0AB91" w14:textId="77777777" w:rsidR="00291314" w:rsidRDefault="00291314" w:rsidP="00291314">
      <w:pPr>
        <w:spacing w:after="160" w:line="360" w:lineRule="auto"/>
        <w:ind w:left="720" w:hanging="720"/>
        <w:jc w:val="both"/>
      </w:pPr>
      <w:r>
        <w:t>Shrout, P. E., &amp; Fleiss, J. L. (1979). Intraclass correlations: uses in assessing rater reliability. Psychological Bulletin, 86(2), 420–428. https://doi.org/10.1037/0033-2909.86.2.420</w:t>
      </w:r>
    </w:p>
    <w:p w14:paraId="06E2A1E9" w14:textId="77777777" w:rsidR="00291314" w:rsidRDefault="00291314" w:rsidP="00291314">
      <w:pPr>
        <w:spacing w:after="160" w:line="360" w:lineRule="auto"/>
        <w:ind w:left="720" w:hanging="720"/>
        <w:jc w:val="both"/>
      </w:pPr>
      <w:r>
        <w:t>Somers, V. K., Dyken, M. E., Mark, A. L., &amp; Abboud, F. M. (1993). Sympathetic-nerve activity during sleep in normal subjects. New England Journal of Medicine, 328(5), 303–307. https://doi.org/10.1056/NEJM199302043280502</w:t>
      </w:r>
    </w:p>
    <w:p w14:paraId="3F6A1F04" w14:textId="77777777" w:rsidR="00291314" w:rsidRDefault="00291314" w:rsidP="00291314">
      <w:pPr>
        <w:spacing w:after="160" w:line="360" w:lineRule="auto"/>
        <w:ind w:left="720" w:hanging="720"/>
        <w:jc w:val="both"/>
      </w:pPr>
      <w:r>
        <w:t>Stradling, J. R., &amp; Davies, R. J. O. (2004). Sleep 1: Obstructive sleep apnoea/hypopnoea syndrome: definitions, epidemiology, and natural history. Thorax, 59(1), 73–78. https://doi.org/10.1136/thorax.59.1.73</w:t>
      </w:r>
    </w:p>
    <w:p w14:paraId="6534BF35" w14:textId="77777777" w:rsidR="00291314" w:rsidRDefault="00291314" w:rsidP="00291314">
      <w:pPr>
        <w:spacing w:after="160" w:line="360" w:lineRule="auto"/>
        <w:ind w:left="720" w:hanging="720"/>
        <w:jc w:val="both"/>
      </w:pPr>
      <w:r>
        <w:t>Streamlit Inc. (2019). Streamlit: the fastest way to build and share data apps. https://streamlit.io</w:t>
      </w:r>
    </w:p>
    <w:p w14:paraId="33983D87" w14:textId="77777777" w:rsidR="00291314" w:rsidRDefault="00291314" w:rsidP="00291314">
      <w:pPr>
        <w:spacing w:after="160" w:line="360" w:lineRule="auto"/>
        <w:ind w:left="720" w:hanging="720"/>
        <w:jc w:val="both"/>
      </w:pPr>
      <w:r>
        <w:t>Task Force of the European Society of Cardiology and the North American Society of Pacing and Electrophysiology. (1996). Heart rate variability: Standards of measurement, physiological interpretation, and clinical use. Circulation, 93(5), 1043–1065. https://doi.org/10.1161/01.CIR.93.5.1043</w:t>
      </w:r>
    </w:p>
    <w:p w14:paraId="727D45BF" w14:textId="77777777" w:rsidR="00291314" w:rsidRDefault="00291314" w:rsidP="00291314">
      <w:pPr>
        <w:spacing w:after="160" w:line="360" w:lineRule="auto"/>
        <w:ind w:left="720" w:hanging="720"/>
        <w:jc w:val="both"/>
      </w:pPr>
      <w:r>
        <w:lastRenderedPageBreak/>
        <w:t>Terrill, P. I. (2020). A review of approaches for analysing obstructive sleep apnoea-related patterns in pulse oximetry data. Respirology. https://pubmed.ncbi.nlm.nih.gov/31246376</w:t>
      </w:r>
    </w:p>
    <w:p w14:paraId="4AE9AB32" w14:textId="77777777" w:rsidR="00291314" w:rsidRDefault="00291314" w:rsidP="00291314">
      <w:pPr>
        <w:spacing w:after="160" w:line="360" w:lineRule="auto"/>
        <w:ind w:left="720" w:hanging="720"/>
        <w:jc w:val="both"/>
      </w:pPr>
      <w:r>
        <w:t>Topol, E. J. (2019). High-performance medicine: the convergence of human and artificial intelligence. Nature Medicine, 25(1), 44–56. https://doi.org/10.1038/s41591-018-0300-7</w:t>
      </w:r>
    </w:p>
    <w:p w14:paraId="01596BEB" w14:textId="77777777" w:rsidR="00291314" w:rsidRDefault="00291314" w:rsidP="00291314">
      <w:pPr>
        <w:spacing w:after="160" w:line="360" w:lineRule="auto"/>
        <w:ind w:left="720" w:hanging="720"/>
        <w:jc w:val="both"/>
      </w:pPr>
      <w:r>
        <w:t>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Nature Medicine, 28(5), 924–933. https://doi.org/10.1038/s41591-022-01772-9</w:t>
      </w:r>
    </w:p>
    <w:p w14:paraId="5E8DC62C" w14:textId="77777777" w:rsidR="00291314" w:rsidRDefault="00291314" w:rsidP="00291314">
      <w:pPr>
        <w:spacing w:after="160" w:line="360" w:lineRule="auto"/>
        <w:ind w:left="720" w:hanging="720"/>
        <w:jc w:val="both"/>
      </w:pPr>
      <w:r>
        <w:t>Wasserstein, R. L., &amp; Lazar, N. A. (2016). The ASA statement on p-values: Context, process, and purpose. The American Statistician, 70(2), 129–133. https://doi.org/10.1080/00031305.2016.1154108</w:t>
      </w:r>
    </w:p>
    <w:p w14:paraId="7FF881D7" w14:textId="77777777" w:rsidR="00291314" w:rsidRDefault="00291314" w:rsidP="00291314">
      <w:pPr>
        <w:spacing w:after="160" w:line="360" w:lineRule="auto"/>
        <w:ind w:left="720" w:hanging="720"/>
        <w:jc w:val="both"/>
      </w:pPr>
      <w:r>
        <w:t>Wellman, A., Eckert, D. J., Jordan, A. S., Edwards, B. A., Passaglia, C. L., Jackson, A. C., … &amp; White, D. P. (2011). A method for measuring and modeling the physiological traits causing obstructive sleep apnea. Journal of Applied Physiology, 110(6), 1627–1637. https://doi.org/10.1152/japplphysiol.00972.2010</w:t>
      </w:r>
    </w:p>
    <w:p w14:paraId="7B9A0412" w14:textId="77777777" w:rsidR="00291314" w:rsidRDefault="00291314" w:rsidP="00291314">
      <w:pPr>
        <w:spacing w:after="160" w:line="360" w:lineRule="auto"/>
        <w:ind w:left="720" w:hanging="720"/>
        <w:jc w:val="both"/>
      </w:pPr>
      <w:r>
        <w:t>Xie, J., Sert Kuniyoshi, F. H., Covassin, N., De Godoy, M. F., &amp; Somers, V. K. (2016). Excessive daytime sleepiness independently predicts increased cardiovascular risk after myocardial infarction. Journal of the American Heart Association, 5(3), e002913. https://doi.org/10.1161/JAHA.115.002913</w:t>
      </w:r>
    </w:p>
    <w:p w14:paraId="5E9B2730" w14:textId="77777777" w:rsidR="00291314" w:rsidRDefault="00291314" w:rsidP="00291314">
      <w:pPr>
        <w:spacing w:after="160" w:line="360" w:lineRule="auto"/>
        <w:ind w:left="720" w:hanging="720"/>
        <w:jc w:val="both"/>
      </w:pPr>
      <w:r>
        <w:t>Yaggi, H. K., Concato, J., Kernan, W. N., Lichtman, J. H., Brass, L. M., &amp; Mohsenin, V. (2005). Obstructive sleep apnea as a risk factor for stroke and death. New England Journal of Medicine, 353(19), 2034–2041. https://doi.org/10.1056/NEJMoa043104</w:t>
      </w:r>
    </w:p>
    <w:p w14:paraId="013B5800" w14:textId="77777777" w:rsidR="00291314" w:rsidRDefault="00291314" w:rsidP="00291314">
      <w:pPr>
        <w:spacing w:after="160" w:line="360" w:lineRule="auto"/>
        <w:ind w:left="720" w:hanging="720"/>
        <w:jc w:val="both"/>
      </w:pPr>
      <w:r>
        <w:t xml:space="preserve">Ye, L., Pien, G. W., Ratcliffe, S. J., Björnsdóttir, E., Arnardottir, E. S., Pack, A. I., Benediktsdóttir, B., &amp; Gislason, T. (2014). The different clinical faces of obstructive </w:t>
      </w:r>
      <w:r>
        <w:lastRenderedPageBreak/>
        <w:t>sleep apnoea: a cluster analysis. European Respiratory Journal, 44(6), 1600–1607. https://doi.org/10.1183/09031936.00032314</w:t>
      </w:r>
    </w:p>
    <w:p w14:paraId="5CAB9944" w14:textId="77777777" w:rsidR="00291314" w:rsidRDefault="00291314" w:rsidP="00291314">
      <w:pPr>
        <w:spacing w:after="160" w:line="360" w:lineRule="auto"/>
        <w:ind w:left="720" w:hanging="720"/>
        <w:jc w:val="both"/>
      </w:pPr>
      <w:r>
        <w:t>Yoon, H., &amp; Choi, S. H. (2023). Technologies for sleep monitoring at home: wearables and nearables. Biomedical Engineering Letters, 13(3), 313–327. https://doi.org/10.1007/s13534-023-00305-8</w:t>
      </w:r>
    </w:p>
    <w:p w14:paraId="3E23B86C" w14:textId="77777777" w:rsidR="00291314" w:rsidRDefault="00291314" w:rsidP="00291314">
      <w:pPr>
        <w:spacing w:after="160" w:line="360" w:lineRule="auto"/>
        <w:ind w:left="720" w:hanging="720"/>
        <w:jc w:val="both"/>
      </w:pPr>
      <w:r>
        <w:t>Young, T., Palta, M., Dempsey, J., Skatrud, J., Weber, S., &amp; Badr, S. (1993). The occurrence of sleep-disordered breathing among middle-aged adults. New England Journal of Medicine, 328(17), 1230–1235. https://doi.org/10.1056/NEJM199304293281704</w:t>
      </w:r>
    </w:p>
    <w:p w14:paraId="7B66C9B1" w14:textId="77777777" w:rsidR="00291314" w:rsidRDefault="00291314" w:rsidP="00291314">
      <w:pPr>
        <w:spacing w:after="160" w:line="360" w:lineRule="auto"/>
        <w:ind w:left="720" w:hanging="720"/>
        <w:jc w:val="both"/>
      </w:pPr>
      <w:r>
        <w:t>Zhang, X., Li, F., Fang, Y., et al. (2026). Novel event-based peripheral oxygen saturation metrics provide complementary information for OSA classification. IEEE Transactions on Bio-Medical Engineering. https://pubmed.ncbi.nlm.nih.gov/41701586</w:t>
      </w:r>
    </w:p>
    <w:p w14:paraId="31548FED" w14:textId="77777777" w:rsidR="00291314" w:rsidRDefault="00291314" w:rsidP="00291314">
      <w:pPr>
        <w:spacing w:after="160" w:line="360" w:lineRule="auto"/>
        <w:ind w:left="720" w:hanging="720"/>
        <w:jc w:val="both"/>
      </w:pPr>
      <w:r>
        <w:t>Zinchuk, A. V., &amp; Yaggi, H. K. (2020). Phenotypic subtypes of OSA: a challenge and opportunity for precision medicine. Chest, 157(2), 403–420. https://doi.org/10.1016/j.chest.2019.09.020</w:t>
      </w:r>
    </w:p>
    <w:p w14:paraId="49EE65E0" w14:textId="05174CAD" w:rsidR="00291314" w:rsidRDefault="00291314">
      <w:pPr>
        <w:spacing w:after="160" w:line="278" w:lineRule="auto"/>
      </w:pPr>
      <w:r>
        <w:br w:type="page"/>
      </w:r>
    </w:p>
    <w:p w14:paraId="42FBF349" w14:textId="77777777" w:rsidR="00291314" w:rsidRDefault="00291314" w:rsidP="00291314">
      <w:pPr>
        <w:spacing w:after="80"/>
        <w:jc w:val="center"/>
      </w:pPr>
      <w:r>
        <w:rPr>
          <w:b/>
          <w:bCs/>
          <w:sz w:val="32"/>
          <w:szCs w:val="32"/>
        </w:rPr>
        <w:lastRenderedPageBreak/>
        <w:t>ANEXO B</w:t>
      </w:r>
    </w:p>
    <w:p w14:paraId="56B121EB" w14:textId="77777777" w:rsidR="00291314" w:rsidRDefault="00291314" w:rsidP="00291314">
      <w:pPr>
        <w:spacing w:after="80"/>
        <w:jc w:val="center"/>
      </w:pPr>
      <w:r>
        <w:rPr>
          <w:b/>
          <w:bCs/>
          <w:sz w:val="32"/>
          <w:szCs w:val="32"/>
        </w:rPr>
        <w:t>Glosario de Términos PAC</w:t>
      </w:r>
    </w:p>
    <w:p w14:paraId="646F0B83" w14:textId="77777777" w:rsidR="00291314" w:rsidRDefault="00291314" w:rsidP="00291314">
      <w:pPr>
        <w:spacing w:after="400"/>
        <w:jc w:val="center"/>
      </w:pPr>
      <w:r>
        <w:t>Versión 15 · Junio 2026</w:t>
      </w:r>
    </w:p>
    <w:p w14:paraId="131983F3" w14:textId="77777777" w:rsidR="00291314" w:rsidRDefault="00291314" w:rsidP="00291314">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54E7AF35" w14:textId="77777777" w:rsidR="00291314" w:rsidRDefault="00291314" w:rsidP="00291314">
      <w:pPr>
        <w:spacing w:before="180" w:after="60"/>
      </w:pPr>
      <w:r>
        <w:rPr>
          <w:b/>
          <w:bCs/>
        </w:rPr>
        <w:t>AASM (American Academy of Sleep Medicine)</w:t>
      </w:r>
    </w:p>
    <w:p w14:paraId="57396B5B" w14:textId="77777777" w:rsidR="00291314" w:rsidRDefault="00291314" w:rsidP="00291314">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50D85980" w14:textId="77777777" w:rsidR="00291314" w:rsidRDefault="00291314" w:rsidP="00291314">
      <w:pPr>
        <w:spacing w:before="180" w:after="60"/>
      </w:pPr>
      <w:r>
        <w:rPr>
          <w:b/>
          <w:bCs/>
        </w:rPr>
        <w:t>Activación autonómica</w:t>
      </w:r>
    </w:p>
    <w:p w14:paraId="16EE5C5E" w14:textId="77777777" w:rsidR="00291314" w:rsidRDefault="00291314" w:rsidP="00291314">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515A45F5" w14:textId="77777777" w:rsidR="00291314" w:rsidRDefault="00291314" w:rsidP="00291314">
      <w:pPr>
        <w:spacing w:before="180" w:after="60"/>
      </w:pPr>
      <w:r>
        <w:rPr>
          <w:b/>
          <w:bCs/>
        </w:rPr>
        <w:t>Agrupamiento de trayectorias nocturnas</w:t>
      </w:r>
    </w:p>
    <w:p w14:paraId="0F3AB09B" w14:textId="77777777" w:rsidR="00291314" w:rsidRDefault="00291314" w:rsidP="00291314">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5995F3AA" w14:textId="77777777" w:rsidR="00291314" w:rsidRDefault="00291314" w:rsidP="00291314">
      <w:pPr>
        <w:spacing w:before="180" w:after="60"/>
      </w:pPr>
      <w:r>
        <w:rPr>
          <w:b/>
          <w:bCs/>
        </w:rPr>
        <w:t>AHI (Apnea-Hypopnea Index — Índice de Apneas-Hipopneas)</w:t>
      </w:r>
    </w:p>
    <w:p w14:paraId="68B193ED" w14:textId="77777777" w:rsidR="00291314" w:rsidRDefault="00291314" w:rsidP="00291314">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7F84DCC3" w14:textId="77777777" w:rsidR="00291314" w:rsidRDefault="00291314" w:rsidP="00291314">
      <w:pPr>
        <w:spacing w:before="180" w:after="60"/>
      </w:pPr>
      <w:r>
        <w:rPr>
          <w:b/>
          <w:bCs/>
        </w:rPr>
        <w:lastRenderedPageBreak/>
        <w:t>Análisis de acoplamiento temporal</w:t>
      </w:r>
    </w:p>
    <w:p w14:paraId="271613BC" w14:textId="77777777" w:rsidR="00291314" w:rsidRDefault="00291314" w:rsidP="00291314">
      <w:pPr>
        <w:spacing w:after="160" w:line="360" w:lineRule="auto"/>
        <w:jc w:val="both"/>
      </w:pPr>
      <w:r>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14FFE68C" w14:textId="77777777" w:rsidR="00291314" w:rsidRDefault="00291314" w:rsidP="00291314">
      <w:pPr>
        <w:spacing w:before="180" w:after="60"/>
      </w:pPr>
      <w:r>
        <w:rPr>
          <w:b/>
          <w:bCs/>
        </w:rPr>
        <w:t>Análisis multiescala</w:t>
      </w:r>
    </w:p>
    <w:p w14:paraId="383C34C5" w14:textId="77777777" w:rsidR="00291314" w:rsidRDefault="00291314" w:rsidP="00291314">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78C12DF9" w14:textId="77777777" w:rsidR="00291314" w:rsidRDefault="00291314" w:rsidP="00291314">
      <w:pPr>
        <w:spacing w:before="180" w:after="60"/>
      </w:pPr>
      <w:r>
        <w:rPr>
          <w:b/>
          <w:bCs/>
        </w:rPr>
        <w:t>ANMAT (Administración Nacional de Medicamentos, Alimentos y Tecnología Médica)</w:t>
      </w:r>
    </w:p>
    <w:p w14:paraId="260DA371" w14:textId="77777777" w:rsidR="00291314" w:rsidRDefault="00291314" w:rsidP="00291314">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7443F4CC" w14:textId="77777777" w:rsidR="00291314" w:rsidRDefault="00291314" w:rsidP="00291314">
      <w:pPr>
        <w:spacing w:before="180" w:after="60"/>
      </w:pPr>
      <w:r>
        <w:rPr>
          <w:b/>
          <w:bCs/>
        </w:rPr>
        <w:t>ARI (Índice de Reactividad Autonómica)</w:t>
      </w:r>
    </w:p>
    <w:p w14:paraId="6E1332A3" w14:textId="77777777" w:rsidR="00291314" w:rsidRDefault="00291314" w:rsidP="00291314">
      <w:pPr>
        <w:spacing w:after="160" w:line="360" w:lineRule="auto"/>
        <w:jc w:val="both"/>
      </w:pPr>
      <w:r>
        <w:t>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ρ(ARI, ODI3) = 0,034 (prácticamente ortogonal); ICC(1,1) = 0,69 (cohorte completa) / 0,74 (cohorte estricta); estable desde la primera noche de registro. El gradiente autonómico inverso —C5 presenta el ARI más bajo del corpus (0,423 ± 0,104)— sugiere atenuación autonómica ante hipoxia crónica severa.</w:t>
      </w:r>
    </w:p>
    <w:p w14:paraId="718A9312" w14:textId="77777777" w:rsidR="00291314" w:rsidRDefault="00291314" w:rsidP="00291314">
      <w:pPr>
        <w:spacing w:before="180" w:after="60"/>
      </w:pPr>
      <w:r>
        <w:rPr>
          <w:b/>
          <w:bCs/>
        </w:rPr>
        <w:t>Arquitectura Medallion</w:t>
      </w:r>
    </w:p>
    <w:p w14:paraId="6C38FD1E" w14:textId="77777777" w:rsidR="00291314" w:rsidRDefault="00291314" w:rsidP="00291314">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6153512C" w14:textId="77777777" w:rsidR="00291314" w:rsidRDefault="00291314" w:rsidP="00291314">
      <w:pPr>
        <w:spacing w:before="180" w:after="60"/>
      </w:pPr>
      <w:r>
        <w:rPr>
          <w:b/>
          <w:bCs/>
        </w:rPr>
        <w:lastRenderedPageBreak/>
        <w:t>Baseline local (línea de base local)</w:t>
      </w:r>
    </w:p>
    <w:p w14:paraId="545DE6C4" w14:textId="77777777" w:rsidR="00291314" w:rsidRDefault="00291314" w:rsidP="00291314">
      <w:pPr>
        <w:spacing w:after="160" w:line="360" w:lineRule="auto"/>
        <w:jc w:val="both"/>
      </w:pPr>
      <w:r>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316AC89E" w14:textId="77777777" w:rsidR="00291314" w:rsidRDefault="00291314" w:rsidP="00291314">
      <w:pPr>
        <w:spacing w:before="180" w:after="60"/>
      </w:pPr>
      <w:r>
        <w:t>Cadenas de Markov discretas (Estados PAC)</w:t>
      </w:r>
    </w:p>
    <w:p w14:paraId="689F1FF3" w14:textId="77777777" w:rsidR="00291314" w:rsidRDefault="00291314" w:rsidP="00291314">
      <w:pPr>
        <w:spacing w:after="160" w:line="360" w:lineRule="auto"/>
        <w:jc w:val="both"/>
      </w:pPr>
      <w:r>
        <w:t>Modelo probabilístico donde la probabilidad de transitar al próximo estado depende únicamente del estado actual. En el Proyecto PAC, modela las transiciones entre Estados PAC en cada escala: 462.519 transiciones en escala S, 45.900 en M y 7.196 en L. El corredor de vulnerabilidad M3→M1 es la ruta preferencial de deterioro fisiológico a escala intermedia; M0 es el atractor principal del sistema.</w:t>
      </w:r>
    </w:p>
    <w:p w14:paraId="3B99A337" w14:textId="77777777" w:rsidR="00291314" w:rsidRDefault="00291314" w:rsidP="00291314">
      <w:pPr>
        <w:spacing w:before="180" w:after="60"/>
      </w:pPr>
      <w:r>
        <w:rPr>
          <w:b/>
          <w:bCs/>
        </w:rPr>
        <w:t>Capas del pipeline PAC_v3 (Bronze / Silver / Events / Gold)</w:t>
      </w:r>
    </w:p>
    <w:p w14:paraId="10174B14" w14:textId="77777777" w:rsidR="00291314" w:rsidRDefault="00291314" w:rsidP="00291314">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68A7E66D" w14:textId="77777777" w:rsidR="00291314" w:rsidRDefault="00291314" w:rsidP="00291314">
      <w:pPr>
        <w:spacing w:before="180" w:after="60"/>
      </w:pPr>
      <w:r>
        <w:rPr>
          <w:b/>
          <w:bCs/>
        </w:rPr>
        <w:t>Carga hipóxica (Hypoxic burden)</w:t>
      </w:r>
    </w:p>
    <w:p w14:paraId="0C3FCB3A" w14:textId="77777777" w:rsidR="00291314" w:rsidRDefault="00291314" w:rsidP="00291314">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06642B91" w14:textId="77777777" w:rsidR="00291314" w:rsidRDefault="00291314" w:rsidP="00291314">
      <w:pPr>
        <w:spacing w:before="180" w:after="60"/>
      </w:pPr>
      <w:r>
        <w:rPr>
          <w:b/>
          <w:bCs/>
        </w:rPr>
        <w:t>Corredor de vulnerabilidad</w:t>
      </w:r>
    </w:p>
    <w:p w14:paraId="4BE815B1" w14:textId="77777777" w:rsidR="00291314" w:rsidRDefault="00291314" w:rsidP="00291314">
      <w:pPr>
        <w:spacing w:after="160" w:line="360" w:lineRule="auto"/>
        <w:jc w:val="both"/>
      </w:pPr>
      <w:r>
        <w:t xml:space="preserve">Par de estados PAC con probabilidad de transición hacia un estado patológico significativamente superior al promedio del corpus. Identificado mediante el análisis de matrices de transición de las cadenas de Markov. El corredor M3→M1 en escala M es el </w:t>
      </w:r>
      <w:r>
        <w:lastRenderedPageBreak/>
        <w:t>más pronunciado del sistema: conduce al estado de mayor riesgo (M1, RR = 3,29) y representa la ruta preferencial de deterioro fisiológico a escala intermedia.</w:t>
      </w:r>
    </w:p>
    <w:p w14:paraId="21951419" w14:textId="77777777" w:rsidR="00291314" w:rsidRDefault="00291314" w:rsidP="00291314">
      <w:r>
        <w:t>Evento de Desaturación de Oxígeno (EDO)</w:t>
      </w:r>
    </w:p>
    <w:p w14:paraId="6F30D307" w14:textId="77777777" w:rsidR="00291314" w:rsidRDefault="00291314" w:rsidP="00291314">
      <w:r>
        <w:t>Véase EDO.</w:t>
      </w:r>
    </w:p>
    <w:p w14:paraId="3F1CAC7A" w14:textId="77777777" w:rsidR="00291314" w:rsidRDefault="00291314" w:rsidP="00291314">
      <w:pPr>
        <w:spacing w:before="180" w:after="60"/>
      </w:pPr>
      <w:r>
        <w:rPr>
          <w:b/>
          <w:bCs/>
        </w:rPr>
        <w:t>EDO (Evento de Desaturación de Oxígeno)</w:t>
      </w:r>
    </w:p>
    <w:p w14:paraId="4A11A49A" w14:textId="77777777" w:rsidR="00291314" w:rsidRDefault="00291314" w:rsidP="00291314">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21E49172" w14:textId="77777777" w:rsidR="00291314" w:rsidRDefault="00291314" w:rsidP="00291314">
      <w:pPr>
        <w:spacing w:before="180" w:after="60"/>
      </w:pPr>
      <w:r>
        <w:rPr>
          <w:b/>
          <w:bCs/>
        </w:rPr>
        <w:t>Escala L — Arquitectura global (30 min)</w:t>
      </w:r>
    </w:p>
    <w:p w14:paraId="58AC92A9" w14:textId="77777777" w:rsidR="00291314" w:rsidRDefault="00291314" w:rsidP="00291314">
      <w:pPr>
        <w:spacing w:after="160" w:line="360" w:lineRule="auto"/>
        <w:jc w:val="both"/>
      </w:pPr>
      <w:r>
        <w:t>Escala temporal más gruesa de los Estados PAC.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6F834BD6" w14:textId="77777777" w:rsidR="00291314" w:rsidRDefault="00291314" w:rsidP="00291314">
      <w:pPr>
        <w:spacing w:before="180" w:after="60"/>
      </w:pPr>
      <w:r>
        <w:rPr>
          <w:b/>
          <w:bCs/>
        </w:rPr>
        <w:t>Escala M — Regulación intermedia (5 min)</w:t>
      </w:r>
    </w:p>
    <w:p w14:paraId="1B0146E8" w14:textId="77777777" w:rsidR="00291314" w:rsidRDefault="00291314" w:rsidP="00291314">
      <w:pPr>
        <w:spacing w:after="160" w:line="360" w:lineRule="auto"/>
        <w:jc w:val="both"/>
      </w:pPr>
      <w:r>
        <w:t>Escala temporal media de los Estados PAC.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1B09F6FE" w14:textId="77777777" w:rsidR="00291314" w:rsidRDefault="00291314" w:rsidP="00291314">
      <w:pPr>
        <w:spacing w:before="180" w:after="60"/>
      </w:pPr>
      <w:r>
        <w:rPr>
          <w:b/>
          <w:bCs/>
        </w:rPr>
        <w:t>Escala S — Microdinámica (30 s)</w:t>
      </w:r>
    </w:p>
    <w:p w14:paraId="68553767" w14:textId="77777777" w:rsidR="00291314" w:rsidRDefault="00291314" w:rsidP="00291314">
      <w:pPr>
        <w:spacing w:after="160" w:line="360" w:lineRule="auto"/>
        <w:jc w:val="both"/>
      </w:pPr>
      <w:r>
        <w:t>Escala temporal más fina de los Estados PAC.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283B4F0C" w14:textId="77777777" w:rsidR="00291314" w:rsidRDefault="00291314" w:rsidP="00291314">
      <w:pPr>
        <w:spacing w:before="180" w:after="60"/>
      </w:pPr>
      <w:r>
        <w:t>Estados PAC (Estados PAC)</w:t>
      </w:r>
    </w:p>
    <w:p w14:paraId="06545708" w14:textId="77777777" w:rsidR="00291314" w:rsidRDefault="00291314" w:rsidP="00291314">
      <w:pPr>
        <w:spacing w:after="160" w:line="360" w:lineRule="auto"/>
        <w:jc w:val="both"/>
      </w:pPr>
      <w:r>
        <w:t xml:space="preserve">Sistema de estados fisiológicos dinámicos a tres escalas temporales (S = 30 s, M = 5 min, L = 30 min), resultado central del análisis de nivel noche del Proyecto PAC (NB04). Cada </w:t>
      </w:r>
      <w:r>
        <w:lastRenderedPageBreak/>
        <w:t>estado captura una configuración recurrente del espacio de 24 features multiescala. Hallazgo central: especialización funcional emergente —S4 predice frecuencia, M1 predice carga hipóxica, S5 predice reactividad autonómica, L0 describe arquitectura global—, propiedad que no fue impuesta por diseño sino que surgió del clustering sobre los datos. V de Cramér S/M/L: 0,356 / 0,231 / 0,196.</w:t>
      </w:r>
    </w:p>
    <w:p w14:paraId="6C9B6EF2" w14:textId="77777777" w:rsidR="00291314" w:rsidRDefault="00291314" w:rsidP="00291314">
      <w:pPr>
        <w:spacing w:before="180" w:after="60"/>
      </w:pPr>
      <w:r>
        <w:rPr>
          <w:b/>
          <w:bCs/>
        </w:rPr>
        <w:t>Estadios de sueño operativos</w:t>
      </w:r>
    </w:p>
    <w:p w14:paraId="21FC3E17" w14:textId="77777777" w:rsidR="00291314" w:rsidRDefault="00291314" w:rsidP="00291314">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Estados PAC.</w:t>
      </w:r>
    </w:p>
    <w:p w14:paraId="64E6BBB7" w14:textId="77777777" w:rsidR="00291314" w:rsidRDefault="00291314" w:rsidP="00291314">
      <w:pPr>
        <w:spacing w:before="180" w:after="60"/>
      </w:pPr>
      <w:r>
        <w:rPr>
          <w:b/>
          <w:bCs/>
        </w:rPr>
        <w:t>Gradiente autonómico inverso</w:t>
      </w:r>
    </w:p>
    <w:p w14:paraId="02BC40A3" w14:textId="77777777" w:rsidR="00291314" w:rsidRDefault="00291314" w:rsidP="00291314">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0B0868F0" w14:textId="77777777" w:rsidR="00291314" w:rsidRDefault="00291314" w:rsidP="00291314">
      <w:pPr>
        <w:spacing w:before="180" w:after="60"/>
      </w:pPr>
      <w:r>
        <w:rPr>
          <w:b/>
          <w:bCs/>
        </w:rPr>
        <w:t>Horizonte temporal (H) — NB08</w:t>
      </w:r>
    </w:p>
    <w:p w14:paraId="5CAE69BF" w14:textId="77777777" w:rsidR="00291314" w:rsidRDefault="00291314" w:rsidP="00291314">
      <w:pPr>
        <w:spacing w:after="160" w:line="360" w:lineRule="auto"/>
        <w:jc w:val="both"/>
      </w:pPr>
      <w:r>
        <w:t xml:space="preserve">Tiempo de anticipación entre el momento de predicción y el inicio del evento severo que se quiere anticipar. Evaluado en H </w:t>
      </w:r>
      <w:r>
        <w:rPr>
          <w:rFonts w:ascii="Cambria Math" w:hAnsi="Cambria Math" w:cs="Cambria Math"/>
        </w:rPr>
        <w:t>∈</w:t>
      </w:r>
      <w:r>
        <w:t xml:space="preserve">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2A1BBBD1" w14:textId="77777777" w:rsidR="00291314" w:rsidRDefault="00291314" w:rsidP="00291314">
      <w:pPr>
        <w:spacing w:before="180" w:after="60"/>
      </w:pPr>
      <w:r>
        <w:rPr>
          <w:b/>
          <w:bCs/>
        </w:rPr>
        <w:t>IEI (Intervalo Inter-Evento)</w:t>
      </w:r>
    </w:p>
    <w:p w14:paraId="0500F9A7" w14:textId="77777777" w:rsidR="00291314" w:rsidRDefault="00291314" w:rsidP="00291314">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11761C0A" w14:textId="77777777" w:rsidR="00291314" w:rsidRDefault="00291314" w:rsidP="00291314">
      <w:r>
        <w:t>Leave-One-Patient-Out Cross-Validation (LOPO-CV)</w:t>
      </w:r>
    </w:p>
    <w:p w14:paraId="7B1E7117" w14:textId="77777777" w:rsidR="00291314" w:rsidRDefault="00291314" w:rsidP="00291314">
      <w:r>
        <w:lastRenderedPageBreak/>
        <w:t>Véase LOPO-CV.</w:t>
      </w:r>
    </w:p>
    <w:p w14:paraId="59E567CE" w14:textId="77777777" w:rsidR="00291314" w:rsidRDefault="00291314" w:rsidP="00291314">
      <w:pPr>
        <w:spacing w:before="180" w:after="60"/>
      </w:pPr>
      <w:r>
        <w:rPr>
          <w:b/>
          <w:bCs/>
        </w:rPr>
        <w:t>LOPO-CV (Leave-One-Patient-Out Cross-Validation)</w:t>
      </w:r>
    </w:p>
    <w:p w14:paraId="50CC2B9E" w14:textId="77777777" w:rsidR="00291314" w:rsidRDefault="00291314" w:rsidP="00291314">
      <w:pPr>
        <w:spacing w:after="160" w:line="360" w:lineRule="auto"/>
        <w:jc w:val="both"/>
      </w:pPr>
      <w:r>
        <w:t>Esquema de validación cruzada donde cada fold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43B227D0" w14:textId="77777777" w:rsidR="00291314" w:rsidRDefault="00291314" w:rsidP="00291314">
      <w:pPr>
        <w:spacing w:before="180" w:after="60"/>
      </w:pPr>
      <w:r>
        <w:rPr>
          <w:b/>
          <w:bCs/>
        </w:rPr>
        <w:t>Morfotipos C1–C5</w:t>
      </w:r>
    </w:p>
    <w:p w14:paraId="24AE211E" w14:textId="77777777" w:rsidR="00291314" w:rsidRDefault="00291314" w:rsidP="00291314">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47394B79" w14:textId="77777777" w:rsidR="00291314" w:rsidRDefault="00291314" w:rsidP="00291314">
      <w:pPr>
        <w:spacing w:before="180" w:after="60"/>
      </w:pPr>
      <w:r>
        <w:rPr>
          <w:b/>
          <w:bCs/>
        </w:rPr>
        <w:t>NightRecordID</w:t>
      </w:r>
    </w:p>
    <w:p w14:paraId="7C11370C" w14:textId="77777777" w:rsidR="00291314" w:rsidRDefault="00291314" w:rsidP="00291314">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3B79BC40" w14:textId="77777777" w:rsidR="00291314" w:rsidRDefault="00291314" w:rsidP="00291314">
      <w:pPr>
        <w:spacing w:before="180" w:after="60"/>
      </w:pPr>
      <w:r>
        <w:rPr>
          <w:b/>
          <w:bCs/>
        </w:rPr>
        <w:t>NB06 / NB07 / NB08 — Módulos analíticos del Proyecto PAC</w:t>
      </w:r>
    </w:p>
    <w:p w14:paraId="4837A483" w14:textId="77777777" w:rsidR="00291314" w:rsidRDefault="00291314" w:rsidP="00291314">
      <w:pPr>
        <w:spacing w:after="160" w:line="360" w:lineRule="auto"/>
        <w:jc w:val="both"/>
      </w:pPr>
      <w:r>
        <w:t>NB06: estudio de ablación por bloques de features (Random Forest, LOPO-CV, 540 noches). Estados PAC = 44,8 % de la importancia Gini total. NB07: predicción de evento severo C4/C5 (LightGBM, AUC = 0,878) y clasificación de riesgo nocturno binario (LR, AUC = 0,905). NB08: predicción prospectiva sobre 452.955 ventanas de 30 s × 4 horizontes; H = 5 min óptimo (AUC = 0,821 ± 0,022).</w:t>
      </w:r>
    </w:p>
    <w:p w14:paraId="19AF1773" w14:textId="77777777" w:rsidR="00291314" w:rsidRDefault="00291314" w:rsidP="00291314">
      <w:pPr>
        <w:spacing w:before="180" w:after="60"/>
      </w:pPr>
      <w:r>
        <w:rPr>
          <w:b/>
          <w:bCs/>
        </w:rPr>
        <w:t>ODI3 (Oxygen Desaturation Index, umbral 3 %)</w:t>
      </w:r>
    </w:p>
    <w:p w14:paraId="6D2352CB" w14:textId="77777777" w:rsidR="00291314" w:rsidRDefault="00291314" w:rsidP="00291314">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7F2C228A" w14:textId="77777777" w:rsidR="00291314" w:rsidRDefault="00291314" w:rsidP="00291314">
      <w:pPr>
        <w:spacing w:before="180" w:after="60"/>
      </w:pPr>
      <w:r>
        <w:rPr>
          <w:b/>
          <w:bCs/>
        </w:rPr>
        <w:t>PAC_v3 — Pipeline del Proyecto PAC</w:t>
      </w:r>
    </w:p>
    <w:p w14:paraId="5B35FE71" w14:textId="77777777" w:rsidR="00291314" w:rsidRDefault="00291314" w:rsidP="00291314">
      <w:pPr>
        <w:spacing w:after="160" w:line="360" w:lineRule="auto"/>
        <w:jc w:val="both"/>
      </w:pPr>
      <w:r>
        <w:lastRenderedPageBreak/>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Estados PAC (escalas S/M/L) y generación de features nocturnas multiescala. Corresponde al reanálisis con la cohorte estricta final (NB04).</w:t>
      </w:r>
    </w:p>
    <w:p w14:paraId="416F2E0F" w14:textId="77777777" w:rsidR="00291314" w:rsidRDefault="00291314" w:rsidP="00291314">
      <w:pPr>
        <w:spacing w:before="180" w:after="60"/>
      </w:pPr>
      <w:r>
        <w:rPr>
          <w:b/>
          <w:bCs/>
        </w:rPr>
        <w:t>Paradoja de Pac314</w:t>
      </w:r>
    </w:p>
    <w:p w14:paraId="6146DCB3" w14:textId="77777777" w:rsidR="00291314" w:rsidRDefault="00291314" w:rsidP="00291314">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768DA467" w14:textId="77777777" w:rsidR="00291314" w:rsidRDefault="00291314" w:rsidP="00291314">
      <w:pPr>
        <w:spacing w:before="180" w:after="60"/>
      </w:pPr>
      <w:r>
        <w:rPr>
          <w:b/>
          <w:bCs/>
        </w:rPr>
        <w:t>Predicción prospectiva (módulo NB08)</w:t>
      </w:r>
    </w:p>
    <w:p w14:paraId="32E8FA68" w14:textId="77777777" w:rsidR="00291314" w:rsidRDefault="00291314" w:rsidP="00291314">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2EDB2C58" w14:textId="77777777" w:rsidR="00291314" w:rsidRDefault="00291314" w:rsidP="00291314">
      <w:pPr>
        <w:spacing w:before="180" w:after="60"/>
      </w:pPr>
      <w:r>
        <w:rPr>
          <w:b/>
          <w:bCs/>
        </w:rPr>
        <w:t>Proyecto PAC (Proyecto de Procesamiento Autonómico Continuo)</w:t>
      </w:r>
    </w:p>
    <w:p w14:paraId="2940E72A" w14:textId="77777777" w:rsidR="00291314" w:rsidRDefault="00291314" w:rsidP="00291314">
      <w:pPr>
        <w:spacing w:after="160" w:line="360" w:lineRule="auto"/>
        <w:jc w:val="both"/>
      </w:pPr>
      <w:r>
        <w:t>Marco metodológico reproducible para el análisis multiescala de series temporales fisiológicas nocturnas obtenidas mediante el SOMNI 6000. Opera en tres niveles: evento (morfotipos C1–C5 + ARI), noche (Estados PAC triescala + coupling index) y paciente (fenotipo longitudinal + modelos predictivos). La cadena EDO → Estados → Acople → Fenotipia → Predicción es la columna vertebral del arco analítico.</w:t>
      </w:r>
    </w:p>
    <w:p w14:paraId="39F0FCC4" w14:textId="77777777" w:rsidR="00291314" w:rsidRPr="00A532BC" w:rsidRDefault="00291314" w:rsidP="00291314">
      <w:pPr>
        <w:rPr>
          <w:b/>
          <w:bCs/>
        </w:rPr>
      </w:pPr>
      <w:r w:rsidRPr="00A532BC">
        <w:rPr>
          <w:b/>
          <w:bCs/>
        </w:rPr>
        <w:t>Polisomnografía (PSG)</w:t>
      </w:r>
    </w:p>
    <w:p w14:paraId="6D1DC21E" w14:textId="77777777" w:rsidR="00291314" w:rsidRDefault="00291314" w:rsidP="00291314">
      <w:r>
        <w:t>Véase PSG.</w:t>
      </w:r>
    </w:p>
    <w:p w14:paraId="29ACEDB7" w14:textId="77777777" w:rsidR="00291314" w:rsidRDefault="00291314" w:rsidP="00291314">
      <w:pPr>
        <w:spacing w:before="180" w:after="60"/>
      </w:pPr>
      <w:r>
        <w:rPr>
          <w:b/>
          <w:bCs/>
        </w:rPr>
        <w:t>PSG (Polisomnografía)</w:t>
      </w:r>
    </w:p>
    <w:p w14:paraId="6A283FD9" w14:textId="77777777" w:rsidR="00291314" w:rsidRDefault="00291314" w:rsidP="00291314">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252654C8" w14:textId="77777777" w:rsidR="00291314" w:rsidRDefault="00291314" w:rsidP="00291314">
      <w:pPr>
        <w:spacing w:before="180" w:after="60" w:line="360" w:lineRule="auto"/>
        <w:jc w:val="both"/>
        <w:rPr>
          <w:b/>
          <w:bCs/>
        </w:rPr>
      </w:pPr>
      <w:r>
        <w:rPr>
          <w:rStyle w:val="Fuerte"/>
        </w:rPr>
        <w:lastRenderedPageBreak/>
        <w:t>Ramp-up</w:t>
      </w:r>
      <w:r>
        <w:t>: período de latencia entre la activación del estímulo eléctrico y la producción del efecto fisiológico; estimado en ~90 s para la estimulación transcutánea (Clifton et al., 2015).</w:t>
      </w:r>
    </w:p>
    <w:p w14:paraId="4A8F342E" w14:textId="77777777" w:rsidR="00291314" w:rsidRDefault="00291314" w:rsidP="00291314">
      <w:pPr>
        <w:spacing w:before="180" w:after="60"/>
      </w:pPr>
      <w:r>
        <w:rPr>
          <w:b/>
          <w:bCs/>
        </w:rPr>
        <w:t>Resiliencia fisiológica post-evento severo</w:t>
      </w:r>
    </w:p>
    <w:p w14:paraId="72D19309" w14:textId="77777777" w:rsidR="00291314" w:rsidRDefault="00291314" w:rsidP="00291314">
      <w:pPr>
        <w:spacing w:after="160" w:line="360" w:lineRule="auto"/>
        <w:jc w:val="both"/>
      </w:pPr>
      <w:r>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6D02C7AA" w14:textId="77777777" w:rsidR="00291314" w:rsidRDefault="00291314" w:rsidP="00291314">
      <w:pPr>
        <w:spacing w:before="180" w:after="60"/>
      </w:pPr>
      <w:r>
        <w:rPr>
          <w:b/>
          <w:bCs/>
        </w:rPr>
        <w:t>Risk Score PAC (0–100)</w:t>
      </w:r>
    </w:p>
    <w:p w14:paraId="1EB2A74A" w14:textId="77777777" w:rsidR="00291314" w:rsidRDefault="00291314" w:rsidP="00291314">
      <w:pPr>
        <w:spacing w:after="160" w:line="360" w:lineRule="auto"/>
        <w:jc w:val="both"/>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Gradiente de medianas por categoría AASM: 25,6 (Normal) / 31,6 (Leve) / 72,2 (Moderado) / 80,8 (Severo). Es un índice retrospectivo —se calcula sobre la noche ya procesada—; no es un sistema de monitoreo en tiempo real.</w:t>
      </w:r>
    </w:p>
    <w:p w14:paraId="46C89654" w14:textId="77777777" w:rsidR="00291314" w:rsidRDefault="00291314" w:rsidP="00291314">
      <w:r>
        <w:t>Síndrome de Apnea Obstructiva del Sueño (SAOS)</w:t>
      </w:r>
    </w:p>
    <w:p w14:paraId="183BE331" w14:textId="77777777" w:rsidR="00291314" w:rsidRDefault="00291314" w:rsidP="00291314">
      <w:r>
        <w:t>Véase SAOS.</w:t>
      </w:r>
    </w:p>
    <w:p w14:paraId="4C879E00" w14:textId="77777777" w:rsidR="00291314" w:rsidRDefault="00291314" w:rsidP="00291314">
      <w:pPr>
        <w:spacing w:before="180" w:after="60"/>
      </w:pPr>
      <w:r>
        <w:rPr>
          <w:b/>
          <w:bCs/>
        </w:rPr>
        <w:t>SAOS (Síndrome de Apneas Obstructivas del Sueño)</w:t>
      </w:r>
    </w:p>
    <w:p w14:paraId="09C53F9E" w14:textId="77777777" w:rsidR="00291314" w:rsidRDefault="00291314" w:rsidP="00291314">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6F264D2A" w14:textId="77777777" w:rsidR="00291314" w:rsidRDefault="00291314" w:rsidP="00291314">
      <w:pPr>
        <w:spacing w:before="180" w:after="60"/>
      </w:pPr>
      <w:r>
        <w:rPr>
          <w:b/>
          <w:bCs/>
        </w:rPr>
        <w:t>SOMNI 6000</w:t>
      </w:r>
    </w:p>
    <w:p w14:paraId="2B6B2A03" w14:textId="77777777" w:rsidR="00291314" w:rsidRDefault="00291314" w:rsidP="00291314">
      <w:pPr>
        <w:spacing w:after="160" w:line="360" w:lineRule="auto"/>
        <w:jc w:val="both"/>
      </w:pPr>
      <w:r>
        <w:t xml:space="preserve">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w:t>
      </w:r>
      <w:r>
        <w:lastRenderedPageBreak/>
        <w:t>estimulador como intervención terapéutica preventiva es una hipótesis operacional pendiente de validación en ensayo clínico controlado.</w:t>
      </w:r>
    </w:p>
    <w:p w14:paraId="49378231" w14:textId="77777777" w:rsidR="00291314" w:rsidRDefault="00291314" w:rsidP="00291314">
      <w:pPr>
        <w:spacing w:before="180" w:after="60"/>
      </w:pPr>
      <w:r>
        <w:rPr>
          <w:b/>
          <w:bCs/>
        </w:rPr>
        <w:t>SpO₂ (Saturación periférica de oxígeno)</w:t>
      </w:r>
    </w:p>
    <w:p w14:paraId="718A681E" w14:textId="77777777" w:rsidR="00291314" w:rsidRDefault="00291314" w:rsidP="00291314">
      <w:pPr>
        <w:spacing w:after="160" w:line="360" w:lineRule="auto"/>
        <w:jc w:val="both"/>
      </w:pPr>
      <w:r>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65C92A54" w14:textId="77777777" w:rsidR="00291314" w:rsidRDefault="00291314" w:rsidP="00291314">
      <w:pPr>
        <w:spacing w:before="180" w:after="60"/>
      </w:pPr>
      <w:r>
        <w:rPr>
          <w:b/>
          <w:bCs/>
        </w:rPr>
        <w:t>T90</w:t>
      </w:r>
    </w:p>
    <w:p w14:paraId="7169B3DA" w14:textId="77777777" w:rsidR="00291314" w:rsidRDefault="00291314" w:rsidP="00291314">
      <w:pPr>
        <w:spacing w:after="160" w:line="360" w:lineRule="auto"/>
        <w:jc w:val="both"/>
      </w:pPr>
      <w:r>
        <w:t>Porcentaje del tiempo de sueño con SpO₂ &lt; 90 %. Métrica de carga hipóxica acumulada. En el Proyecto PAC, M1 (Estados PAC escala M) es el mejor predictor de T90 (ρ = +0,744) de todo el sistema, seguido por L0 (ρ = +0,705 a escala L). El ICC(1,1) del T90 es de 0,52 en la cohorte completa y 0,69 en la estricta.</w:t>
      </w:r>
    </w:p>
    <w:p w14:paraId="7F259C24" w14:textId="77777777" w:rsidR="00291314" w:rsidRDefault="00291314" w:rsidP="00291314">
      <w:pPr>
        <w:spacing w:before="180" w:after="60"/>
      </w:pPr>
      <w:r>
        <w:rPr>
          <w:b/>
          <w:bCs/>
        </w:rPr>
        <w:t>Trayectoria nocturna</w:t>
      </w:r>
    </w:p>
    <w:p w14:paraId="60E40B22" w14:textId="77777777" w:rsidR="00291314" w:rsidRDefault="00291314" w:rsidP="00291314">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278C1382" w14:textId="77777777" w:rsidR="00291314" w:rsidRDefault="00291314" w:rsidP="00291314">
      <w:pPr>
        <w:spacing w:before="180" w:after="60"/>
      </w:pPr>
      <w:r>
        <w:rPr>
          <w:b/>
          <w:bCs/>
        </w:rPr>
        <w:t>Trazabilidad del pipeline</w:t>
      </w:r>
    </w:p>
    <w:p w14:paraId="43D53B3E" w14:textId="77777777" w:rsidR="00291314" w:rsidRDefault="00291314" w:rsidP="00291314">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664E8B45" w14:textId="77777777" w:rsidR="00291314" w:rsidRDefault="00291314" w:rsidP="00291314">
      <w:pPr>
        <w:spacing w:before="180" w:after="60"/>
      </w:pPr>
      <w:r>
        <w:rPr>
          <w:b/>
          <w:bCs/>
        </w:rPr>
        <w:t>V de Cramér</w:t>
      </w:r>
    </w:p>
    <w:p w14:paraId="6E41B66C" w14:textId="77777777" w:rsidR="00291314" w:rsidRDefault="00291314" w:rsidP="00291314">
      <w:pPr>
        <w:spacing w:after="160" w:line="360" w:lineRule="auto"/>
        <w:jc w:val="both"/>
      </w:pPr>
      <w:r>
        <w:t xml:space="preserve">Medida de asociación entre dos variables categóricas, normalizada entre 0 (independencia) y 1 (asociación perfecta), derivada del estadístico Chi-cuadrado. Usada en el Proyecto PAC para cuantificar el acoplamiento morfotipo–estado: S = 0,355 / M = 0,229 / L = 0,194 sobre </w:t>
      </w:r>
      <w:r>
        <w:lastRenderedPageBreak/>
        <w:t>83.892 eventos (NB05). Los valores decrecientes con la escala temporal indican que la escala S es más informativa sobre la morfología instantánea del evento.</w:t>
      </w:r>
    </w:p>
    <w:p w14:paraId="6A003DB3" w14:textId="77777777" w:rsidR="00291314" w:rsidRDefault="00291314" w:rsidP="00291314">
      <w:pPr>
        <w:spacing w:before="180" w:after="60"/>
      </w:pPr>
      <w:r>
        <w:rPr>
          <w:b/>
          <w:bCs/>
        </w:rPr>
        <w:t>Variabilidad noche a noche</w:t>
      </w:r>
    </w:p>
    <w:p w14:paraId="264BEE98" w14:textId="77777777" w:rsidR="00291314" w:rsidRDefault="00291314" w:rsidP="00291314">
      <w:pPr>
        <w:spacing w:after="160" w:line="360" w:lineRule="auto"/>
        <w:jc w:val="both"/>
      </w:pPr>
      <w:r>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(ICC = 0,94 a 7 noches, MAE = 2,1 ev/h); el ARI es estable desde la primera noche de registro.</w:t>
      </w:r>
    </w:p>
    <w:p w14:paraId="4A0D0CA4" w14:textId="77777777" w:rsidR="00291314" w:rsidRDefault="00291314" w:rsidP="00291314">
      <w:r>
        <w:br w:type="page"/>
      </w:r>
    </w:p>
    <w:p w14:paraId="71AADE18" w14:textId="77777777" w:rsidR="00291314" w:rsidRDefault="00291314" w:rsidP="00291314">
      <w:pPr>
        <w:pStyle w:val="Ttulo1"/>
      </w:pPr>
      <w:r>
        <w:lastRenderedPageBreak/>
        <w:t>Entradas incorporadas en la consolidación v15</w:t>
      </w:r>
    </w:p>
    <w:p w14:paraId="43173BD9" w14:textId="77777777" w:rsidR="00291314" w:rsidRDefault="00291314" w:rsidP="00291314">
      <w:r>
        <w:t>Carga Hipóxica Alta (CHA)</w:t>
      </w:r>
    </w:p>
    <w:p w14:paraId="6D5FDAB5" w14:textId="77777777" w:rsidR="00291314" w:rsidRDefault="00291314" w:rsidP="00291314">
      <w:r>
        <w:t>Véase CHA.</w:t>
      </w:r>
    </w:p>
    <w:p w14:paraId="11563AA8" w14:textId="77777777" w:rsidR="00291314" w:rsidRDefault="00291314" w:rsidP="00291314">
      <w:r>
        <w:t>CHA (Carga Hipóxica Alta)</w:t>
      </w:r>
    </w:p>
    <w:p w14:paraId="3414FDE6" w14:textId="77777777" w:rsidR="00291314" w:rsidRDefault="00291314" w:rsidP="00291314">
      <w:r>
        <w:t>Fenotipo dinámico nocturno identificado mediante clustering K=3 sobre features PAC. Se caracteriza por alta dominancia de M1 (~78 % de la noche), baja entropía, pocas transiciones y elevada proporción de eventos severos (~38 %). Aunque representa aproximadamente el 1 % de las noches del corpus, puede aparecer en pacientes clasificados como Moderados por ODI3, evidenciando discordancia entre severidad convencional y fenotipo dinámico.</w:t>
      </w:r>
    </w:p>
    <w:p w14:paraId="245D233E" w14:textId="77777777" w:rsidR="00291314" w:rsidRDefault="00291314" w:rsidP="00291314">
      <w:r>
        <w:t>Índice de Desaturación de Oxígeno (ODI)</w:t>
      </w:r>
    </w:p>
    <w:p w14:paraId="241DCE54" w14:textId="77777777" w:rsidR="00291314" w:rsidRDefault="00291314" w:rsidP="00291314">
      <w:r>
        <w:t>Véase ODI3.</w:t>
      </w:r>
    </w:p>
    <w:p w14:paraId="268126F6" w14:textId="77777777" w:rsidR="00291314" w:rsidRDefault="00291314" w:rsidP="00291314">
      <w:r>
        <w:t>ODI</w:t>
      </w:r>
    </w:p>
    <w:p w14:paraId="43C078EB" w14:textId="77777777" w:rsidR="00291314" w:rsidRDefault="00291314" w:rsidP="00291314">
      <w:r>
        <w:t>Véase ODI3.</w:t>
      </w:r>
    </w:p>
    <w:p w14:paraId="49EBA923" w14:textId="77777777" w:rsidR="00291314" w:rsidRDefault="00291314" w:rsidP="00291314">
      <w:pPr>
        <w:pStyle w:val="Ttulo2"/>
      </w:pPr>
      <w:r>
        <w:t>Historial de cambios</w:t>
      </w:r>
    </w:p>
    <w:p w14:paraId="70C46E6A" w14:textId="77777777" w:rsidR="00291314" w:rsidRDefault="00291314" w:rsidP="00291314">
      <w:r>
        <w:t>v13 — Incorporación de CHA.</w:t>
      </w:r>
    </w:p>
    <w:p w14:paraId="3ACCDC62" w14:textId="77777777" w:rsidR="00291314" w:rsidRDefault="00291314" w:rsidP="00291314">
      <w:r>
        <w:t>v14 — Incorporación de la Convención ODI.</w:t>
      </w:r>
    </w:p>
    <w:p w14:paraId="602F6973" w14:textId="77777777" w:rsidR="00291314" w:rsidRDefault="00291314" w:rsidP="00291314">
      <w:r>
        <w:t>v15 — Corrección global PAC States → Estados PAC y consolidación canónica.</w:t>
      </w:r>
    </w:p>
    <w:p w14:paraId="69E534FB" w14:textId="1CCD23C5" w:rsidR="00291314" w:rsidRDefault="00291314">
      <w:pPr>
        <w:spacing w:after="160" w:line="278" w:lineRule="auto"/>
      </w:pPr>
      <w:r>
        <w:br w:type="page"/>
      </w:r>
    </w:p>
    <w:p w14:paraId="3907ED94" w14:textId="77777777" w:rsidR="00291314" w:rsidRDefault="00291314" w:rsidP="00291314">
      <w:pPr>
        <w:spacing w:after="80"/>
        <w:jc w:val="center"/>
      </w:pPr>
      <w:r>
        <w:rPr>
          <w:b/>
          <w:bCs/>
          <w:sz w:val="32"/>
          <w:szCs w:val="32"/>
        </w:rPr>
        <w:lastRenderedPageBreak/>
        <w:t>ANEXO</w:t>
      </w:r>
    </w:p>
    <w:p w14:paraId="003223E8" w14:textId="77777777" w:rsidR="00291314" w:rsidRDefault="00291314" w:rsidP="00291314">
      <w:pPr>
        <w:spacing w:after="80"/>
        <w:jc w:val="center"/>
      </w:pPr>
      <w:r>
        <w:rPr>
          <w:b/>
          <w:bCs/>
          <w:sz w:val="32"/>
          <w:szCs w:val="32"/>
        </w:rPr>
        <w:t>Material Suplementario</w:t>
      </w:r>
    </w:p>
    <w:p w14:paraId="1E98264B" w14:textId="77777777" w:rsidR="00291314" w:rsidRDefault="00291314" w:rsidP="00291314">
      <w:pPr>
        <w:spacing w:after="400"/>
        <w:jc w:val="center"/>
      </w:pPr>
      <w:r>
        <w:rPr>
          <w:i/>
          <w:iCs/>
          <w:color w:val="666666"/>
        </w:rPr>
        <w:t>Versión 16  ·  Junio 2026</w:t>
      </w:r>
    </w:p>
    <w:p w14:paraId="4E01C8C3" w14:textId="77777777" w:rsidR="00291314" w:rsidRDefault="00291314" w:rsidP="00291314">
      <w:pPr>
        <w:spacing w:after="200" w:line="360" w:lineRule="auto"/>
        <w:jc w:val="both"/>
      </w:pPr>
      <w:r>
        <w:t>Este anexo reúne figuras y tablas complementarias al cuerpo principal, organizadas por capítulo. Todo el material está referenciado en el texto principal. Se conservan numeración y notas originales para facilitar las referencias cruzadas.</w:t>
      </w:r>
    </w:p>
    <w:p w14:paraId="357FCDF0" w14:textId="77777777" w:rsidR="00291314" w:rsidRDefault="00291314" w:rsidP="00291314">
      <w:pPr>
        <w:pStyle w:val="Ttulo2"/>
      </w:pPr>
      <w:r>
        <w:rPr>
          <w:rFonts w:ascii="Times New Roman" w:eastAsia="Times New Roman" w:hAnsi="Times New Roman" w:cs="Times New Roman"/>
          <w:b/>
          <w:bCs/>
          <w:sz w:val="26"/>
          <w:szCs w:val="26"/>
        </w:rPr>
        <w:t>Cap 01  Introducción</w:t>
      </w:r>
    </w:p>
    <w:p w14:paraId="030C35A6" w14:textId="77777777" w:rsidR="00291314" w:rsidRDefault="00291314" w:rsidP="00291314">
      <w:pPr>
        <w:spacing w:before="200" w:after="60"/>
      </w:pPr>
      <w:r>
        <w:rPr>
          <w:b/>
          <w:bCs/>
          <w:sz w:val="20"/>
          <w:szCs w:val="20"/>
        </w:rPr>
        <w:t>Tabla 1.8. Técnicas de ciencia de datos y aprendizaje automático aplicadas en el Proyecto PAC.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600"/>
        <w:gridCol w:w="2000"/>
      </w:tblGrid>
      <w:tr w:rsidR="00291314" w14:paraId="18C12C42" w14:textId="77777777" w:rsidTr="000E11C5">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72E365" w14:textId="77777777" w:rsidR="00291314" w:rsidRDefault="00291314" w:rsidP="000E11C5">
            <w:r>
              <w:rPr>
                <w:b/>
                <w:bCs/>
                <w:sz w:val="20"/>
                <w:szCs w:val="20"/>
              </w:rPr>
              <w:t>Técnica / Método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8A551E" w14:textId="77777777" w:rsidR="00291314" w:rsidRDefault="00291314" w:rsidP="000E11C5">
            <w:r>
              <w:rPr>
                <w:b/>
                <w:bCs/>
                <w:sz w:val="20"/>
                <w:szCs w:val="20"/>
              </w:rPr>
              <w:t>Rol en el proyecto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F00595" w14:textId="77777777" w:rsidR="00291314" w:rsidRDefault="00291314" w:rsidP="000E11C5">
            <w:r>
              <w:rPr>
                <w:b/>
                <w:bCs/>
                <w:sz w:val="20"/>
                <w:szCs w:val="20"/>
              </w:rPr>
              <w:t>Categoría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130559" w14:textId="77777777" w:rsidR="00291314" w:rsidRDefault="00291314" w:rsidP="000E11C5">
            <w:r>
              <w:rPr>
                <w:b/>
                <w:bCs/>
                <w:sz w:val="20"/>
                <w:szCs w:val="20"/>
              </w:rPr>
              <w:t>Capítulos</w:t>
            </w:r>
          </w:p>
        </w:tc>
      </w:tr>
      <w:tr w:rsidR="00291314" w14:paraId="1A7EA1F2"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B9C4B" w14:textId="77777777" w:rsidR="00291314" w:rsidRDefault="00291314" w:rsidP="000E11C5">
            <w:r>
              <w:rPr>
                <w:sz w:val="20"/>
                <w:szCs w:val="20"/>
              </w:rPr>
              <w:t>Correlación intraclase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7CB8E" w14:textId="77777777" w:rsidR="00291314" w:rsidRDefault="00291314" w:rsidP="000E11C5">
            <w:r>
              <w:rPr>
                <w:sz w:val="20"/>
                <w:szCs w:val="20"/>
              </w:rPr>
              <w:t>Evaluación de la reproducibilidad noche a noche de las métricas fisiológicas por paciente.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8C60E" w14:textId="77777777" w:rsidR="00291314" w:rsidRDefault="00291314" w:rsidP="000E11C5">
            <w:r>
              <w:rPr>
                <w:sz w:val="20"/>
                <w:szCs w:val="20"/>
              </w:rPr>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2B4CB" w14:textId="77777777" w:rsidR="00291314" w:rsidRDefault="00291314" w:rsidP="000E11C5">
            <w:r>
              <w:rPr>
                <w:sz w:val="20"/>
                <w:szCs w:val="20"/>
              </w:rPr>
              <w:t>Caps. 3 y 4</w:t>
            </w:r>
          </w:p>
        </w:tc>
      </w:tr>
      <w:tr w:rsidR="00291314" w14:paraId="6A5E746A"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77E5C" w14:textId="77777777" w:rsidR="00291314" w:rsidRDefault="00291314" w:rsidP="000E11C5">
            <w:r>
              <w:rPr>
                <w:sz w:val="20"/>
                <w:szCs w:val="20"/>
              </w:rPr>
              <w:t>Correlación de Spearman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740CD" w14:textId="77777777" w:rsidR="00291314" w:rsidRDefault="00291314" w:rsidP="000E11C5">
            <w:r>
              <w:rPr>
                <w:sz w:val="20"/>
                <w:szCs w:val="20"/>
              </w:rPr>
              <w:t>Análisis de asociación entre variables fisiológicas y clínicas. Evaluación de la independencia parcial del ARI.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DC6D9" w14:textId="77777777" w:rsidR="00291314" w:rsidRDefault="00291314" w:rsidP="000E11C5">
            <w:r>
              <w:rPr>
                <w:sz w:val="20"/>
                <w:szCs w:val="20"/>
              </w:rPr>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24C86" w14:textId="77777777" w:rsidR="00291314" w:rsidRDefault="00291314" w:rsidP="000E11C5">
            <w:r>
              <w:rPr>
                <w:sz w:val="20"/>
                <w:szCs w:val="20"/>
              </w:rPr>
              <w:t>Caps. 4 y 5</w:t>
            </w:r>
          </w:p>
        </w:tc>
      </w:tr>
      <w:tr w:rsidR="00291314" w14:paraId="422AC4BC"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4E824" w14:textId="77777777" w:rsidR="00291314" w:rsidRDefault="00291314" w:rsidP="000E11C5">
            <w:r>
              <w:rPr>
                <w:sz w:val="20"/>
                <w:szCs w:val="20"/>
              </w:rPr>
              <w:t>Chi-cuadrado y V de Cramér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A7A8F" w14:textId="77777777" w:rsidR="00291314" w:rsidRDefault="00291314" w:rsidP="000E11C5">
            <w:r>
              <w:rPr>
                <w:sz w:val="20"/>
                <w:szCs w:val="20"/>
              </w:rPr>
              <w:t>Cuantificación de la asociación entre estados PAC y morfotipos en las tres escalas.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C6C61" w14:textId="77777777" w:rsidR="00291314" w:rsidRDefault="00291314" w:rsidP="000E11C5">
            <w:r>
              <w:rPr>
                <w:sz w:val="20"/>
                <w:szCs w:val="20"/>
              </w:rPr>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6BA6D" w14:textId="77777777" w:rsidR="00291314" w:rsidRDefault="00291314" w:rsidP="000E11C5">
            <w:r>
              <w:rPr>
                <w:sz w:val="20"/>
                <w:szCs w:val="20"/>
              </w:rPr>
              <w:t>Cap. 5</w:t>
            </w:r>
          </w:p>
        </w:tc>
      </w:tr>
      <w:tr w:rsidR="00291314" w14:paraId="4EF93377"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A31AA" w14:textId="77777777" w:rsidR="00291314" w:rsidRDefault="00291314" w:rsidP="000E11C5">
            <w:r>
              <w:rPr>
                <w:sz w:val="20"/>
                <w:szCs w:val="20"/>
              </w:rPr>
              <w:t>Análisis de calibración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05100" w14:textId="77777777" w:rsidR="00291314" w:rsidRDefault="00291314" w:rsidP="000E11C5">
            <w:r>
              <w:rPr>
                <w:sz w:val="20"/>
                <w:szCs w:val="20"/>
              </w:rPr>
              <w:t>Verificación de la correspondencia entre probabilidades predichas y frecuencia real.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04BC9" w14:textId="77777777" w:rsidR="00291314" w:rsidRDefault="00291314" w:rsidP="000E11C5">
            <w:r>
              <w:rPr>
                <w:sz w:val="20"/>
                <w:szCs w:val="20"/>
              </w:rPr>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82F3D" w14:textId="77777777" w:rsidR="00291314" w:rsidRDefault="00291314" w:rsidP="000E11C5">
            <w:r>
              <w:rPr>
                <w:sz w:val="20"/>
                <w:szCs w:val="20"/>
              </w:rPr>
              <w:t>Cap. 6</w:t>
            </w:r>
          </w:p>
        </w:tc>
      </w:tr>
      <w:tr w:rsidR="00291314" w14:paraId="082CEAF9"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8432F" w14:textId="77777777" w:rsidR="00291314" w:rsidRDefault="00291314" w:rsidP="000E11C5">
            <w:r>
              <w:rPr>
                <w:sz w:val="20"/>
                <w:szCs w:val="20"/>
              </w:rPr>
              <w:t>Bootstrap e IC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62B95" w14:textId="77777777" w:rsidR="00291314" w:rsidRDefault="00291314" w:rsidP="000E11C5">
            <w:r>
              <w:rPr>
                <w:sz w:val="20"/>
                <w:szCs w:val="20"/>
              </w:rPr>
              <w:t>Estimación de la incertidumbre en métricas de riesgo relativo y estabilidad en muestras pequeñas.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2ADDF" w14:textId="77777777" w:rsidR="00291314" w:rsidRDefault="00291314" w:rsidP="000E11C5">
            <w:r>
              <w:rPr>
                <w:sz w:val="20"/>
                <w:szCs w:val="20"/>
              </w:rPr>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52D6F" w14:textId="77777777" w:rsidR="00291314" w:rsidRDefault="00291314" w:rsidP="000E11C5">
            <w:r>
              <w:rPr>
                <w:sz w:val="20"/>
                <w:szCs w:val="20"/>
              </w:rPr>
              <w:t>Caps. 5 y 6</w:t>
            </w:r>
          </w:p>
        </w:tc>
      </w:tr>
      <w:tr w:rsidR="00291314" w14:paraId="343232AA"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EF84C" w14:textId="77777777" w:rsidR="00291314" w:rsidRDefault="00291314" w:rsidP="000E11C5">
            <w:r>
              <w:rPr>
                <w:sz w:val="20"/>
                <w:szCs w:val="20"/>
              </w:rPr>
              <w:t>K-Medias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84B09" w14:textId="77777777" w:rsidR="00291314" w:rsidRDefault="00291314" w:rsidP="000E11C5">
            <w:r>
              <w:rPr>
                <w:sz w:val="20"/>
                <w:szCs w:val="20"/>
              </w:rPr>
              <w:t>Identificación de morfotipos C1–C5 sobre curvas SpO₂ y construcción de PAC States.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3606C" w14:textId="77777777" w:rsidR="00291314" w:rsidRDefault="00291314" w:rsidP="000E11C5">
            <w:r>
              <w:rPr>
                <w:sz w:val="20"/>
                <w:szCs w:val="20"/>
              </w:rPr>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70C5E" w14:textId="77777777" w:rsidR="00291314" w:rsidRDefault="00291314" w:rsidP="000E11C5">
            <w:r>
              <w:rPr>
                <w:sz w:val="20"/>
                <w:szCs w:val="20"/>
              </w:rPr>
              <w:t>Caps. 4 y 5</w:t>
            </w:r>
          </w:p>
        </w:tc>
      </w:tr>
      <w:tr w:rsidR="00291314" w14:paraId="6BABC3D9"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E664C" w14:textId="77777777" w:rsidR="00291314" w:rsidRDefault="00291314" w:rsidP="000E11C5">
            <w:r>
              <w:rPr>
                <w:sz w:val="20"/>
                <w:szCs w:val="20"/>
              </w:rPr>
              <w:t>PCA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73079" w14:textId="77777777" w:rsidR="00291314" w:rsidRDefault="00291314" w:rsidP="000E11C5">
            <w:r>
              <w:rPr>
                <w:sz w:val="20"/>
                <w:szCs w:val="20"/>
              </w:rPr>
              <w:t>Reducción de dimensionalidad para la matriz de variables nocturnas y curvas de eventos.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B7B02" w14:textId="77777777" w:rsidR="00291314" w:rsidRDefault="00291314" w:rsidP="000E11C5">
            <w:r>
              <w:rPr>
                <w:sz w:val="20"/>
                <w:szCs w:val="20"/>
              </w:rPr>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AC887" w14:textId="77777777" w:rsidR="00291314" w:rsidRDefault="00291314" w:rsidP="000E11C5">
            <w:r>
              <w:rPr>
                <w:sz w:val="20"/>
                <w:szCs w:val="20"/>
              </w:rPr>
              <w:t>Caps. 4, 5 y 6</w:t>
            </w:r>
          </w:p>
        </w:tc>
      </w:tr>
      <w:tr w:rsidR="00291314" w14:paraId="3E1E68BC"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54FBF" w14:textId="77777777" w:rsidR="00291314" w:rsidRDefault="00291314" w:rsidP="000E11C5">
            <w:r>
              <w:rPr>
                <w:sz w:val="20"/>
                <w:szCs w:val="20"/>
              </w:rPr>
              <w:t>Análisis de silueta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12C3B" w14:textId="77777777" w:rsidR="00291314" w:rsidRDefault="00291314" w:rsidP="000E11C5">
            <w:r>
              <w:rPr>
                <w:sz w:val="20"/>
                <w:szCs w:val="20"/>
              </w:rPr>
              <w:t>Criterio cuantitativo para la selección del K óptimo en el fenotipado.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A7EBF" w14:textId="77777777" w:rsidR="00291314" w:rsidRDefault="00291314" w:rsidP="000E11C5">
            <w:r>
              <w:rPr>
                <w:sz w:val="20"/>
                <w:szCs w:val="20"/>
              </w:rPr>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D186A" w14:textId="77777777" w:rsidR="00291314" w:rsidRDefault="00291314" w:rsidP="000E11C5">
            <w:r>
              <w:rPr>
                <w:sz w:val="20"/>
                <w:szCs w:val="20"/>
              </w:rPr>
              <w:t>Cap. 4</w:t>
            </w:r>
          </w:p>
        </w:tc>
      </w:tr>
      <w:tr w:rsidR="00291314" w14:paraId="149284E7"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4C00D" w14:textId="77777777" w:rsidR="00291314" w:rsidRDefault="00291314" w:rsidP="000E11C5">
            <w:r>
              <w:rPr>
                <w:sz w:val="20"/>
                <w:szCs w:val="20"/>
              </w:rPr>
              <w:t>Agrupamiento trayectorias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87EB3" w14:textId="77777777" w:rsidR="00291314" w:rsidRDefault="00291314" w:rsidP="000E11C5">
            <w:r>
              <w:rPr>
                <w:sz w:val="20"/>
                <w:szCs w:val="20"/>
              </w:rPr>
              <w:t>Identificación de arquetipos de organización nocturna sobre vectores dinámicos.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179E8" w14:textId="77777777" w:rsidR="00291314" w:rsidRDefault="00291314" w:rsidP="000E11C5">
            <w:r>
              <w:rPr>
                <w:sz w:val="20"/>
                <w:szCs w:val="20"/>
              </w:rPr>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EB42A" w14:textId="77777777" w:rsidR="00291314" w:rsidRDefault="00291314" w:rsidP="000E11C5">
            <w:r>
              <w:rPr>
                <w:sz w:val="20"/>
                <w:szCs w:val="20"/>
              </w:rPr>
              <w:t>Cap. 5</w:t>
            </w:r>
          </w:p>
        </w:tc>
      </w:tr>
      <w:tr w:rsidR="00291314" w14:paraId="37529A64"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15CFF" w14:textId="77777777" w:rsidR="00291314" w:rsidRDefault="00291314" w:rsidP="000E11C5">
            <w:r>
              <w:rPr>
                <w:sz w:val="20"/>
                <w:szCs w:val="20"/>
              </w:rPr>
              <w:t>Cadenas de Markov</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97CA0" w14:textId="77777777" w:rsidR="00291314" w:rsidRDefault="00291314" w:rsidP="000E11C5">
            <w:r>
              <w:rPr>
                <w:sz w:val="20"/>
                <w:szCs w:val="20"/>
              </w:rPr>
              <w:t>Modelado de probabilidades de transición entre estados PAC. Atractores y resiliencia.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EE5BC" w14:textId="77777777" w:rsidR="00291314" w:rsidRDefault="00291314" w:rsidP="000E11C5">
            <w:r>
              <w:rPr>
                <w:sz w:val="20"/>
                <w:szCs w:val="20"/>
              </w:rPr>
              <w:t>Modelos dinámicos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02E71" w14:textId="77777777" w:rsidR="00291314" w:rsidRDefault="00291314" w:rsidP="000E11C5">
            <w:r>
              <w:rPr>
                <w:sz w:val="20"/>
                <w:szCs w:val="20"/>
              </w:rPr>
              <w:t>Caps. 5 y 6</w:t>
            </w:r>
          </w:p>
        </w:tc>
      </w:tr>
      <w:tr w:rsidR="00291314" w14:paraId="177CC8C0"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B309" w14:textId="77777777" w:rsidR="00291314" w:rsidRDefault="00291314" w:rsidP="000E11C5">
            <w:r>
              <w:rPr>
                <w:sz w:val="20"/>
                <w:szCs w:val="20"/>
              </w:rPr>
              <w:t>Acoplamiento temporal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64FC3" w14:textId="77777777" w:rsidR="00291314" w:rsidRDefault="00291314" w:rsidP="000E11C5">
            <w:r>
              <w:rPr>
                <w:sz w:val="20"/>
                <w:szCs w:val="20"/>
              </w:rPr>
              <w:t>Cuantificación de la fracción de eventos severos en estados PAC patológicos.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ED078" w14:textId="77777777" w:rsidR="00291314" w:rsidRDefault="00291314" w:rsidP="000E11C5">
            <w:r>
              <w:rPr>
                <w:sz w:val="20"/>
                <w:szCs w:val="20"/>
              </w:rPr>
              <w:t>Series temporales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06343" w14:textId="77777777" w:rsidR="00291314" w:rsidRDefault="00291314" w:rsidP="000E11C5">
            <w:r>
              <w:rPr>
                <w:sz w:val="20"/>
                <w:szCs w:val="20"/>
              </w:rPr>
              <w:t>Cap. 6</w:t>
            </w:r>
          </w:p>
        </w:tc>
      </w:tr>
      <w:tr w:rsidR="00291314" w14:paraId="61E85BAE"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E2533" w14:textId="77777777" w:rsidR="00291314" w:rsidRDefault="00291314" w:rsidP="000E11C5">
            <w:r>
              <w:rPr>
                <w:sz w:val="20"/>
                <w:szCs w:val="20"/>
              </w:rPr>
              <w:lastRenderedPageBreak/>
              <w:t>Ventanas deslizantes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5D8E3" w14:textId="77777777" w:rsidR="00291314" w:rsidRDefault="00291314" w:rsidP="000E11C5">
            <w:r>
              <w:rPr>
                <w:sz w:val="20"/>
                <w:szCs w:val="20"/>
              </w:rPr>
              <w:t>Construcción del dataset de predicción prospectiva (ventanas de 30 s) para NB08.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E619D" w14:textId="77777777" w:rsidR="00291314" w:rsidRDefault="00291314" w:rsidP="000E11C5">
            <w:r>
              <w:rPr>
                <w:sz w:val="20"/>
                <w:szCs w:val="20"/>
              </w:rPr>
              <w:t>Series temporales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3CC7A" w14:textId="77777777" w:rsidR="00291314" w:rsidRDefault="00291314" w:rsidP="000E11C5">
            <w:r>
              <w:rPr>
                <w:sz w:val="20"/>
                <w:szCs w:val="20"/>
              </w:rPr>
              <w:t>Cap. 8</w:t>
            </w:r>
          </w:p>
        </w:tc>
      </w:tr>
      <w:tr w:rsidR="00291314" w14:paraId="2BE56D78"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209B0" w14:textId="77777777" w:rsidR="00291314" w:rsidRDefault="00291314" w:rsidP="000E11C5">
            <w:r>
              <w:rPr>
                <w:sz w:val="20"/>
                <w:szCs w:val="20"/>
              </w:rPr>
              <w:t>LightGBM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78DC" w14:textId="77777777" w:rsidR="00291314" w:rsidRDefault="00291314" w:rsidP="000E11C5">
            <w:r>
              <w:rPr>
                <w:sz w:val="20"/>
                <w:szCs w:val="20"/>
              </w:rPr>
              <w:t>Predicción de severidad del evento individual y predicción prospectiva NB08.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B542E" w14:textId="77777777" w:rsidR="00291314" w:rsidRDefault="00291314" w:rsidP="000E11C5">
            <w:r>
              <w:rPr>
                <w:sz w:val="20"/>
                <w:szCs w:val="20"/>
              </w:rPr>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954C1" w14:textId="77777777" w:rsidR="00291314" w:rsidRDefault="00291314" w:rsidP="000E11C5">
            <w:r>
              <w:rPr>
                <w:sz w:val="20"/>
                <w:szCs w:val="20"/>
              </w:rPr>
              <w:t>Caps. 6 y 8</w:t>
            </w:r>
          </w:p>
        </w:tc>
      </w:tr>
      <w:tr w:rsidR="00291314" w14:paraId="28207D8D"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56A04" w14:textId="77777777" w:rsidR="00291314" w:rsidRDefault="00291314" w:rsidP="000E11C5">
            <w:r>
              <w:rPr>
                <w:sz w:val="20"/>
                <w:szCs w:val="20"/>
              </w:rPr>
              <w:t>Regresión logística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0D1A1" w14:textId="77777777" w:rsidR="00291314" w:rsidRDefault="00291314" w:rsidP="000E11C5">
            <w:r>
              <w:rPr>
                <w:sz w:val="20"/>
                <w:szCs w:val="20"/>
              </w:rPr>
              <w:t>Clasificación de riesgo nocturno sobre la matriz de variables de noche.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6CD7A" w14:textId="77777777" w:rsidR="00291314" w:rsidRDefault="00291314" w:rsidP="000E11C5">
            <w:r>
              <w:rPr>
                <w:sz w:val="20"/>
                <w:szCs w:val="20"/>
              </w:rPr>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59FCF" w14:textId="77777777" w:rsidR="00291314" w:rsidRDefault="00291314" w:rsidP="000E11C5">
            <w:r>
              <w:rPr>
                <w:sz w:val="20"/>
                <w:szCs w:val="20"/>
              </w:rPr>
              <w:t>Cap. 6</w:t>
            </w:r>
          </w:p>
        </w:tc>
      </w:tr>
      <w:tr w:rsidR="00291314" w14:paraId="6E8BD509"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D4A4A" w14:textId="77777777" w:rsidR="00291314" w:rsidRDefault="00291314" w:rsidP="000E11C5">
            <w:r>
              <w:rPr>
                <w:sz w:val="20"/>
                <w:szCs w:val="20"/>
              </w:rPr>
              <w:t>Bosque aleatorio</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7B7F9" w14:textId="77777777" w:rsidR="00291314" w:rsidRDefault="00291314" w:rsidP="000E11C5">
            <w:r>
              <w:rPr>
                <w:sz w:val="20"/>
                <w:szCs w:val="20"/>
              </w:rPr>
              <w:t>Modelo de referencia para la clasificación de severidad nocturna.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9A30C" w14:textId="77777777" w:rsidR="00291314" w:rsidRDefault="00291314" w:rsidP="000E11C5">
            <w:r>
              <w:rPr>
                <w:sz w:val="20"/>
                <w:szCs w:val="20"/>
              </w:rPr>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0F5A1" w14:textId="77777777" w:rsidR="00291314" w:rsidRDefault="00291314" w:rsidP="000E11C5">
            <w:r>
              <w:rPr>
                <w:sz w:val="20"/>
                <w:szCs w:val="20"/>
              </w:rPr>
              <w:t>Cap. 6</w:t>
            </w:r>
          </w:p>
        </w:tc>
      </w:tr>
      <w:tr w:rsidR="00291314" w14:paraId="27CA14C9"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8B947" w14:textId="77777777" w:rsidR="00291314" w:rsidRDefault="00291314" w:rsidP="000E11C5">
            <w:r>
              <w:rPr>
                <w:sz w:val="20"/>
                <w:szCs w:val="20"/>
              </w:rPr>
              <w:t>LOPO-CV</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887C7" w14:textId="77777777" w:rsidR="00291314" w:rsidRDefault="00291314" w:rsidP="000E11C5">
            <w:r>
              <w:rPr>
                <w:sz w:val="20"/>
                <w:szCs w:val="20"/>
              </w:rPr>
              <w:t>Esquema de validación estricta que deja un paciente fuera en cada fold.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D8C7F" w14:textId="77777777" w:rsidR="00291314" w:rsidRDefault="00291314" w:rsidP="000E11C5">
            <w:r>
              <w:rPr>
                <w:sz w:val="20"/>
                <w:szCs w:val="20"/>
              </w:rPr>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3CE9C" w14:textId="77777777" w:rsidR="00291314" w:rsidRDefault="00291314" w:rsidP="000E11C5">
            <w:r>
              <w:rPr>
                <w:sz w:val="20"/>
                <w:szCs w:val="20"/>
              </w:rPr>
              <w:t>Caps. 6 y 8</w:t>
            </w:r>
          </w:p>
        </w:tc>
      </w:tr>
      <w:tr w:rsidR="00291314" w14:paraId="325C57F3"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C1BE5" w14:textId="77777777" w:rsidR="00291314" w:rsidRDefault="00291314" w:rsidP="000E11C5">
            <w:r>
              <w:rPr>
                <w:sz w:val="20"/>
                <w:szCs w:val="20"/>
              </w:rPr>
              <w:t>ROC y precisión-exhaustividad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6CE80" w14:textId="77777777" w:rsidR="00291314" w:rsidRDefault="00291314" w:rsidP="000E11C5">
            <w:r>
              <w:rPr>
                <w:sz w:val="20"/>
                <w:szCs w:val="20"/>
              </w:rPr>
              <w:t>Evaluación del poder discriminativo y definición de umbrales operacionales.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CC1B7" w14:textId="77777777" w:rsidR="00291314" w:rsidRDefault="00291314" w:rsidP="000E11C5">
            <w:r>
              <w:rPr>
                <w:sz w:val="20"/>
                <w:szCs w:val="20"/>
              </w:rPr>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072AD" w14:textId="77777777" w:rsidR="00291314" w:rsidRDefault="00291314" w:rsidP="000E11C5">
            <w:r>
              <w:rPr>
                <w:sz w:val="20"/>
                <w:szCs w:val="20"/>
              </w:rPr>
              <w:t>Caps. 6 y 8</w:t>
            </w:r>
          </w:p>
        </w:tc>
      </w:tr>
      <w:tr w:rsidR="00291314" w14:paraId="300AF228"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DDEC" w14:textId="77777777" w:rsidR="00291314" w:rsidRDefault="00291314" w:rsidP="000E11C5">
            <w:r>
              <w:rPr>
                <w:sz w:val="20"/>
                <w:szCs w:val="20"/>
              </w:rPr>
              <w:t>SHAP</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C55A3" w14:textId="77777777" w:rsidR="00291314" w:rsidRDefault="00291314" w:rsidP="000E11C5">
            <w:r>
              <w:rPr>
                <w:sz w:val="20"/>
                <w:szCs w:val="20"/>
              </w:rPr>
              <w:t>Análisis de interpretabilidad del clasificador de riesgo nocturno.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E432D" w14:textId="77777777" w:rsidR="00291314" w:rsidRDefault="00291314" w:rsidP="000E11C5">
            <w:r>
              <w:rPr>
                <w:sz w:val="20"/>
                <w:szCs w:val="20"/>
              </w:rPr>
              <w:t>Interpretabilidad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40404" w14:textId="77777777" w:rsidR="00291314" w:rsidRDefault="00291314" w:rsidP="000E11C5">
            <w:r>
              <w:rPr>
                <w:sz w:val="20"/>
                <w:szCs w:val="20"/>
              </w:rPr>
              <w:t>Cap. 6</w:t>
            </w:r>
          </w:p>
        </w:tc>
      </w:tr>
      <w:tr w:rsidR="00291314" w14:paraId="1B350EE0"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8C72B" w14:textId="77777777" w:rsidR="00291314" w:rsidRDefault="00291314" w:rsidP="000E11C5">
            <w:r>
              <w:rPr>
                <w:sz w:val="20"/>
                <w:szCs w:val="20"/>
              </w:rPr>
              <w:t>Ablación por bloques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D7FE9" w14:textId="77777777" w:rsidR="00291314" w:rsidRDefault="00291314" w:rsidP="000E11C5">
            <w:r>
              <w:rPr>
                <w:sz w:val="20"/>
                <w:szCs w:val="20"/>
              </w:rPr>
              <w:t>Evaluación del aporte incremental de cada grupo de features al modelo.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0C577" w14:textId="77777777" w:rsidR="00291314" w:rsidRDefault="00291314" w:rsidP="000E11C5">
            <w:r>
              <w:rPr>
                <w:sz w:val="20"/>
                <w:szCs w:val="20"/>
              </w:rPr>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44C70" w14:textId="77777777" w:rsidR="00291314" w:rsidRDefault="00291314" w:rsidP="000E11C5">
            <w:r>
              <w:rPr>
                <w:sz w:val="20"/>
                <w:szCs w:val="20"/>
              </w:rPr>
              <w:t>Cap. 6</w:t>
            </w:r>
          </w:p>
        </w:tc>
      </w:tr>
      <w:tr w:rsidR="00291314" w14:paraId="1045C37E"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864F7" w14:textId="77777777" w:rsidR="00291314" w:rsidRDefault="00291314" w:rsidP="000E11C5">
            <w:r>
              <w:rPr>
                <w:sz w:val="20"/>
                <w:szCs w:val="20"/>
              </w:rPr>
              <w:t>Risk Score PAC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3D68" w14:textId="77777777" w:rsidR="00291314" w:rsidRDefault="00291314" w:rsidP="000E11C5">
            <w:r>
              <w:rPr>
                <w:sz w:val="20"/>
                <w:szCs w:val="20"/>
              </w:rPr>
              <w:t>Síntesis de predicciones de evento y noche en índice integrado 0–100.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EAB48" w14:textId="77777777" w:rsidR="00291314" w:rsidRDefault="00291314" w:rsidP="000E11C5">
            <w:r>
              <w:rPr>
                <w:sz w:val="20"/>
                <w:szCs w:val="20"/>
              </w:rPr>
              <w:t>Síntesis predictiva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D9D3C" w14:textId="77777777" w:rsidR="00291314" w:rsidRDefault="00291314" w:rsidP="000E11C5">
            <w:r>
              <w:rPr>
                <w:sz w:val="20"/>
                <w:szCs w:val="20"/>
              </w:rPr>
              <w:t>Cap. 6</w:t>
            </w:r>
          </w:p>
        </w:tc>
      </w:tr>
    </w:tbl>
    <w:p w14:paraId="5F697131" w14:textId="77777777" w:rsidR="00291314" w:rsidRDefault="00291314" w:rsidP="00291314">
      <w:pPr>
        <w:spacing w:after="100" w:line="300" w:lineRule="auto"/>
        <w:jc w:val="both"/>
      </w:pPr>
      <w:r>
        <w:rPr>
          <w:i/>
          <w:iCs/>
          <w:sz w:val="20"/>
          <w:szCs w:val="20"/>
        </w:rPr>
        <w:t>Nota. La tabla presenta las 20 técnicas aplicadas a lo largo de la tesis, con su rol, categoría metodológica y capítulos de referencia. Esta tabla se presenta como material suplementario a la descripción de §1.8.</w:t>
      </w:r>
    </w:p>
    <w:p w14:paraId="6B285C62" w14:textId="77777777" w:rsidR="00291314" w:rsidRDefault="00291314" w:rsidP="00291314">
      <w:r>
        <w:br w:type="page"/>
      </w:r>
    </w:p>
    <w:p w14:paraId="066D17E9" w14:textId="77777777" w:rsidR="00291314" w:rsidRDefault="00291314" w:rsidP="00291314">
      <w:pPr>
        <w:pStyle w:val="Ttulo2"/>
      </w:pPr>
      <w:r>
        <w:rPr>
          <w:rFonts w:ascii="Times New Roman" w:eastAsia="Times New Roman" w:hAnsi="Times New Roman" w:cs="Times New Roman"/>
          <w:b/>
          <w:bCs/>
          <w:sz w:val="26"/>
          <w:szCs w:val="26"/>
        </w:rPr>
        <w:lastRenderedPageBreak/>
        <w:t>Cap 04  Fenotipado Morfológico y Reactividad Autonómica</w:t>
      </w:r>
    </w:p>
    <w:p w14:paraId="223B064F" w14:textId="77777777" w:rsidR="00291314" w:rsidRDefault="00291314" w:rsidP="00291314">
      <w:pPr>
        <w:spacing w:before="200" w:after="60"/>
      </w:pPr>
      <w:r>
        <w:rPr>
          <w:b/>
          <w:bCs/>
          <w:sz w:val="20"/>
          <w:szCs w:val="20"/>
        </w:rPr>
        <w:t>Figura 4.3. Perfiles de frecuencia cardíaca (FC, fila A) y movimiento (MOV, fila B) por morfotipo C1–C5.</w:t>
      </w:r>
    </w:p>
    <w:p w14:paraId="4D6DD52C" w14:textId="77777777" w:rsidR="00291314" w:rsidRDefault="00291314" w:rsidP="00291314">
      <w:pPr>
        <w:spacing w:after="120"/>
        <w:jc w:val="center"/>
      </w:pPr>
      <w:r>
        <w:rPr>
          <w:noProof/>
        </w:rPr>
        <w:drawing>
          <wp:inline distT="0" distB="0" distL="0" distR="0" wp14:anchorId="42F2A9BA" wp14:editId="72662DC4">
            <wp:extent cx="5629275" cy="2228850"/>
            <wp:effectExtent l="0" t="0" r="0" b="0"/>
            <wp:docPr id="1" name="01_perfiles_fc_mov.png" descr="01_perfiles_fc_mov.png" title="01_perfiles_fc_m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629275" cy="2228850"/>
                    </a:xfrm>
                    <a:prstGeom prst="rect">
                      <a:avLst/>
                    </a:prstGeom>
                  </pic:spPr>
                </pic:pic>
              </a:graphicData>
            </a:graphic>
          </wp:inline>
        </w:drawing>
      </w:r>
    </w:p>
    <w:p w14:paraId="0997D5F9" w14:textId="77777777" w:rsidR="00291314" w:rsidRDefault="00291314" w:rsidP="00291314">
      <w:pPr>
        <w:spacing w:after="100" w:line="300" w:lineRule="auto"/>
        <w:jc w:val="both"/>
      </w:pPr>
      <w:r>
        <w:rPr>
          <w:i/>
          <w:iCs/>
          <w:sz w:val="20"/>
          <w:szCs w:val="20"/>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0F874E5" w14:textId="77777777" w:rsidR="00291314" w:rsidRDefault="00291314" w:rsidP="00291314">
      <w:pPr>
        <w:spacing w:before="300" w:after="60"/>
      </w:pPr>
      <w:r>
        <w:rPr>
          <w:rFonts w:asciiTheme="minorHAnsi" w:hAnsiTheme="minorHAnsi"/>
          <w:b/>
          <w:bCs/>
          <w:sz w:val="20"/>
          <w:szCs w:val="20"/>
        </w:rPr>
        <w:t>Figura 4.4. Distribución del ARI por morfotipo y relación con severidad morfológica.</w:t>
      </w:r>
    </w:p>
    <w:p w14:paraId="76A93AF2" w14:textId="77777777" w:rsidR="00291314" w:rsidRDefault="00291314" w:rsidP="00291314">
      <w:pPr>
        <w:spacing w:after="80"/>
        <w:jc w:val="center"/>
      </w:pPr>
      <w:r>
        <w:rPr>
          <w:noProof/>
        </w:rPr>
        <w:drawing>
          <wp:inline distT="0" distB="0" distL="0" distR="0" wp14:anchorId="54F6B94E" wp14:editId="182FBDFB">
            <wp:extent cx="4800000" cy="3981149"/>
            <wp:effectExtent l="0" t="0" r="0" b="0"/>
            <wp:docPr id="50" name="02_ari_mediana_cluster.png" descr="Figura 4.4. Distribución del ARI por morfotipo y relación con severidad morfológica." title="Figura 4.4. Distribución del ARI por morfotipo y relación con severidad morf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00000" cy="3981149"/>
                    </a:xfrm>
                    <a:prstGeom prst="rect">
                      <a:avLst/>
                    </a:prstGeom>
                  </pic:spPr>
                </pic:pic>
              </a:graphicData>
            </a:graphic>
          </wp:inline>
        </w:drawing>
      </w:r>
    </w:p>
    <w:p w14:paraId="55475A3D" w14:textId="77777777" w:rsidR="00291314" w:rsidRDefault="00291314" w:rsidP="00291314">
      <w:pPr>
        <w:spacing w:after="200"/>
        <w:jc w:val="both"/>
      </w:pPr>
      <w:r>
        <w:rPr>
          <w:rFonts w:asciiTheme="minorHAnsi" w:hAnsiTheme="minorHAnsi"/>
          <w:i/>
          <w:iCs/>
          <w:sz w:val="18"/>
          <w:szCs w:val="18"/>
        </w:rPr>
        <w:t xml:space="preserve">Nota. (A) ARI mediano con IC 95 % bootstrap por morfotipo; línea punteada: mediana global (ARI = 0,5). Los cinco morfotipos se agrupan en torno a la mediana global, sin gradiente monótono con la severidad. (B) Distribución de </w:t>
      </w:r>
      <w:r>
        <w:rPr>
          <w:rFonts w:asciiTheme="minorHAnsi" w:hAnsiTheme="minorHAnsi"/>
          <w:i/>
          <w:iCs/>
          <w:sz w:val="18"/>
          <w:szCs w:val="18"/>
        </w:rPr>
        <w:lastRenderedPageBreak/>
        <w:t>densidad ARI versus morfotipo sobre N = 85.277 EDOs; ρ Spearman ≈ 0,034, confirmando la práctica independencia entre ARI y severidad morfológica.</w:t>
      </w:r>
    </w:p>
    <w:p w14:paraId="2D5DA775" w14:textId="77777777" w:rsidR="00291314" w:rsidRDefault="00291314" w:rsidP="00291314">
      <w:pPr>
        <w:spacing w:before="200" w:after="60"/>
      </w:pPr>
      <w:r>
        <w:rPr>
          <w:b/>
          <w:bCs/>
          <w:sz w:val="20"/>
          <w:szCs w:val="20"/>
        </w:rPr>
        <w:t>Figura 4.5. Análisis within-stratum del ARI: diferencias entre ARI-alto y ARI-bajo dentro de cada estrato de severidad ODI3.</w:t>
      </w:r>
    </w:p>
    <w:p w14:paraId="7CEE1069" w14:textId="77777777" w:rsidR="00291314" w:rsidRDefault="00291314" w:rsidP="00291314">
      <w:pPr>
        <w:spacing w:after="120"/>
        <w:jc w:val="center"/>
      </w:pPr>
      <w:r>
        <w:rPr>
          <w:noProof/>
        </w:rPr>
        <w:drawing>
          <wp:inline distT="0" distB="0" distL="0" distR="0" wp14:anchorId="7A97F516" wp14:editId="32A241F5">
            <wp:extent cx="5629275" cy="1714500"/>
            <wp:effectExtent l="0" t="0" r="0" b="0"/>
            <wp:docPr id="579502707" name="03_within_stratum_ari.png" descr="03_within_stratum_ari.png" title="03_within_stratum_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29275" cy="1714500"/>
                    </a:xfrm>
                    <a:prstGeom prst="rect">
                      <a:avLst/>
                    </a:prstGeom>
                  </pic:spPr>
                </pic:pic>
              </a:graphicData>
            </a:graphic>
          </wp:inline>
        </w:drawing>
      </w:r>
    </w:p>
    <w:p w14:paraId="53F89556" w14:textId="77777777" w:rsidR="00291314" w:rsidRDefault="00291314" w:rsidP="00291314">
      <w:pPr>
        <w:spacing w:after="100" w:line="300" w:lineRule="auto"/>
        <w:jc w:val="both"/>
      </w:pPr>
      <w:r>
        <w:rPr>
          <w:i/>
          <w:iCs/>
          <w:sz w:val="20"/>
          <w:szCs w:val="20"/>
        </w:rPr>
        <w:t>Nota. Estratos ODI3: Leve, Moderado, Grave, Muy grave. (a) HR gain mediana; (b) fracción morfotipos severos C4+C5; (c) T90. Prueba de Mann-Whitney U con corrección de Bonferroni. *** p &lt; 0,001.</w:t>
      </w:r>
    </w:p>
    <w:p w14:paraId="0285F490" w14:textId="77777777" w:rsidR="00291314" w:rsidRDefault="00291314" w:rsidP="00291314">
      <w:pPr>
        <w:spacing w:before="200" w:after="60"/>
      </w:pPr>
      <w:r>
        <w:rPr>
          <w:b/>
          <w:bCs/>
          <w:sz w:val="20"/>
          <w:szCs w:val="20"/>
        </w:rPr>
        <w:t>Figura 4.6. Estabilización del ODI3 con el número de noches promediadas (bootstrap, cohorte estricta, 8 pacientes).</w:t>
      </w:r>
    </w:p>
    <w:p w14:paraId="6803F680" w14:textId="77777777" w:rsidR="00291314" w:rsidRDefault="00291314" w:rsidP="00291314">
      <w:pPr>
        <w:spacing w:after="120"/>
        <w:jc w:val="center"/>
      </w:pPr>
      <w:r>
        <w:rPr>
          <w:noProof/>
        </w:rPr>
        <w:drawing>
          <wp:inline distT="0" distB="0" distL="0" distR="0" wp14:anchorId="15C91C50" wp14:editId="5F4FE767">
            <wp:extent cx="5629275" cy="2009775"/>
            <wp:effectExtent l="0" t="0" r="0" b="0"/>
            <wp:docPr id="410291370" name="03_odi3_estabilidad_multinoche.png" descr="03_odi3_estabilidad_multinoche.png" title="03_odi3_estabilidad_multino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29275" cy="2009775"/>
                    </a:xfrm>
                    <a:prstGeom prst="rect">
                      <a:avLst/>
                    </a:prstGeom>
                  </pic:spPr>
                </pic:pic>
              </a:graphicData>
            </a:graphic>
          </wp:inline>
        </w:drawing>
      </w:r>
    </w:p>
    <w:p w14:paraId="7B14838F" w14:textId="77777777" w:rsidR="00291314" w:rsidRDefault="00291314" w:rsidP="00291314">
      <w:pPr>
        <w:spacing w:after="100" w:line="300" w:lineRule="auto"/>
        <w:jc w:val="both"/>
      </w:pPr>
      <w:r>
        <w:rPr>
          <w:i/>
          <w:iCs/>
          <w:sz w:val="20"/>
          <w:szCs w:val="20"/>
        </w:rPr>
        <w:t>Nota. (A) MAE (ev/h) del ODI3 vs número de noches; banda sombreada: IQR bootstrap (300 iteraciones). Umbral operacional MAE = 2 ev/h alcanzado aproximadamente a las 4 noches. (B) ICC(1,1) vs número de noches (0,70 → 0,98 en 14 noches).</w:t>
      </w:r>
    </w:p>
    <w:p w14:paraId="5D080DD7" w14:textId="77777777" w:rsidR="00291314" w:rsidRDefault="00291314" w:rsidP="00291314">
      <w:pPr>
        <w:spacing w:before="200" w:after="60"/>
      </w:pPr>
      <w:r>
        <w:rPr>
          <w:b/>
          <w:bCs/>
          <w:sz w:val="20"/>
          <w:szCs w:val="20"/>
        </w:rPr>
        <w:t>Figura 4.7. Validación multi-noche del ARI: MAE bootstrap y análisis de concordancia Bland-Altman.</w:t>
      </w:r>
    </w:p>
    <w:p w14:paraId="1907EBEA" w14:textId="77777777" w:rsidR="00291314" w:rsidRDefault="00291314" w:rsidP="00291314">
      <w:pPr>
        <w:spacing w:after="120"/>
        <w:jc w:val="center"/>
      </w:pPr>
      <w:r>
        <w:rPr>
          <w:noProof/>
        </w:rPr>
        <w:lastRenderedPageBreak/>
        <w:drawing>
          <wp:inline distT="0" distB="0" distL="0" distR="0" wp14:anchorId="176D390E" wp14:editId="5432915F">
            <wp:extent cx="5629275" cy="3476625"/>
            <wp:effectExtent l="0" t="0" r="0" b="0"/>
            <wp:docPr id="855055813" name="03_ari_bland_altman.png" descr="03_ari_bland_altman.png" title="03_ari_bland_alt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29275" cy="3476625"/>
                    </a:xfrm>
                    <a:prstGeom prst="rect">
                      <a:avLst/>
                    </a:prstGeom>
                  </pic:spPr>
                </pic:pic>
              </a:graphicData>
            </a:graphic>
          </wp:inline>
        </w:drawing>
      </w:r>
    </w:p>
    <w:p w14:paraId="5FF23EAE" w14:textId="77777777" w:rsidR="00291314" w:rsidRDefault="00291314" w:rsidP="00291314">
      <w:pPr>
        <w:spacing w:after="100" w:line="300" w:lineRule="auto"/>
        <w:jc w:val="both"/>
      </w:pPr>
      <w:r>
        <w:rPr>
          <w:i/>
          <w:iCs/>
          <w:sz w:val="20"/>
          <w:szCs w:val="20"/>
        </w:rPr>
        <w:t>Nota. (A) MAE bootstrap (IC 95 %) del ARI paciente-nivel vs número de noches; umbral operacional ARI = 0,05. El MAE desciende por debajo de 0,01 desde las primeras noches. (B) Bland-Altman: sesgo = 0,001; LoA ± 0,097. La variabilidad residual es homogénea en todo el rango del ARI.</w:t>
      </w:r>
    </w:p>
    <w:p w14:paraId="6B5B8EC5" w14:textId="77777777" w:rsidR="00291314" w:rsidRDefault="00291314" w:rsidP="00291314">
      <w:pPr>
        <w:spacing w:before="240" w:after="60"/>
      </w:pPr>
      <w:r>
        <w:rPr>
          <w:b/>
          <w:bCs/>
          <w:sz w:val="20"/>
          <w:szCs w:val="20"/>
        </w:rPr>
        <w:t>Tabla 4.3. Correspondencia entre morfotipos escalares (α–κ, K = 10) y morfotipos de curva (C1–C5).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100"/>
        <w:gridCol w:w="2300"/>
        <w:gridCol w:w="3600"/>
      </w:tblGrid>
      <w:tr w:rsidR="00291314" w14:paraId="7AFA8DA9" w14:textId="77777777" w:rsidTr="000E11C5">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811B8C" w14:textId="77777777" w:rsidR="00291314" w:rsidRDefault="00291314" w:rsidP="000E11C5">
            <w:r>
              <w:rPr>
                <w:b/>
                <w:bCs/>
                <w:sz w:val="20"/>
                <w:szCs w:val="20"/>
              </w:rPr>
              <w:t>Morf. escalar</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0A86A1" w14:textId="77777777" w:rsidR="00291314" w:rsidRDefault="00291314" w:rsidP="000E11C5">
            <w:r>
              <w:rPr>
                <w:b/>
                <w:bCs/>
                <w:sz w:val="20"/>
                <w:szCs w:val="20"/>
              </w:rPr>
              <w:t>N eventos</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DB8DE1" w14:textId="77777777" w:rsidR="00291314" w:rsidRDefault="00291314" w:rsidP="000E11C5">
            <w:r>
              <w:rPr>
                <w:b/>
                <w:bCs/>
                <w:sz w:val="20"/>
                <w:szCs w:val="20"/>
              </w:rPr>
              <w:t>C4+C5 (%)</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DEBDD7" w14:textId="77777777" w:rsidR="00291314" w:rsidRDefault="00291314" w:rsidP="000E11C5">
            <w:r>
              <w:rPr>
                <w:b/>
                <w:bCs/>
                <w:sz w:val="20"/>
                <w:szCs w:val="20"/>
              </w:rPr>
              <w:t>Alineación principal</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25B76D" w14:textId="77777777" w:rsidR="00291314" w:rsidRDefault="00291314" w:rsidP="000E11C5">
            <w:r>
              <w:rPr>
                <w:b/>
                <w:bCs/>
                <w:sz w:val="20"/>
                <w:szCs w:val="20"/>
              </w:rPr>
              <w:t>Perfil</w:t>
            </w:r>
          </w:p>
        </w:tc>
      </w:tr>
      <w:tr w:rsidR="00291314" w14:paraId="0924C227"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98E04" w14:textId="77777777" w:rsidR="00291314" w:rsidRDefault="00291314" w:rsidP="000E11C5">
            <w:r>
              <w:rPr>
                <w:sz w:val="20"/>
                <w:szCs w:val="20"/>
              </w:rPr>
              <w:t>β</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A38CB" w14:textId="77777777" w:rsidR="00291314" w:rsidRDefault="00291314" w:rsidP="000E11C5">
            <w:r>
              <w:rPr>
                <w:sz w:val="20"/>
                <w:szCs w:val="20"/>
              </w:rPr>
              <w:t>51.801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1C200" w14:textId="77777777" w:rsidR="00291314" w:rsidRDefault="00291314" w:rsidP="000E11C5">
            <w:r>
              <w:rPr>
                <w:sz w:val="20"/>
                <w:szCs w:val="20"/>
              </w:rPr>
              <w:t>0,0 %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C564F" w14:textId="77777777" w:rsidR="00291314" w:rsidRDefault="00291314" w:rsidP="000E11C5">
            <w:r>
              <w:rPr>
                <w:sz w:val="20"/>
                <w:szCs w:val="20"/>
              </w:rPr>
              <w:t>→ C1 (87,4 %)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80C82" w14:textId="77777777" w:rsidR="00291314" w:rsidRDefault="00291314" w:rsidP="000E11C5">
            <w:r>
              <w:rPr>
                <w:sz w:val="20"/>
                <w:szCs w:val="20"/>
              </w:rPr>
              <w:t>Dominante subcrítico — 60,8 % del corpus</w:t>
            </w:r>
          </w:p>
        </w:tc>
      </w:tr>
      <w:tr w:rsidR="00291314" w14:paraId="08964620"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90D5C" w14:textId="77777777" w:rsidR="00291314" w:rsidRDefault="00291314" w:rsidP="000E11C5">
            <w:r>
              <w:rPr>
                <w:sz w:val="20"/>
                <w:szCs w:val="20"/>
              </w:rPr>
              <w:t>γ</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26F4B" w14:textId="77777777" w:rsidR="00291314" w:rsidRDefault="00291314" w:rsidP="000E11C5">
            <w:r>
              <w:rPr>
                <w:sz w:val="20"/>
                <w:szCs w:val="20"/>
              </w:rPr>
              <w:t>8.590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46729" w14:textId="77777777" w:rsidR="00291314" w:rsidRDefault="00291314" w:rsidP="000E11C5">
            <w:r>
              <w:rPr>
                <w:sz w:val="20"/>
                <w:szCs w:val="20"/>
              </w:rPr>
              <w:t>1,0 %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684B6" w14:textId="77777777" w:rsidR="00291314" w:rsidRDefault="00291314" w:rsidP="000E11C5">
            <w:r>
              <w:rPr>
                <w:sz w:val="20"/>
                <w:szCs w:val="20"/>
              </w:rPr>
              <w:t>→ C1 (61,7 %), C2 (34,8 %)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DF469" w14:textId="77777777" w:rsidR="00291314" w:rsidRDefault="00291314" w:rsidP="000E11C5">
            <w:r>
              <w:rPr>
                <w:sz w:val="20"/>
                <w:szCs w:val="20"/>
              </w:rPr>
              <w:t>C1/C2 mixto — baja carga hipóxica</w:t>
            </w:r>
          </w:p>
        </w:tc>
      </w:tr>
      <w:tr w:rsidR="00291314" w14:paraId="1B58978C"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CF559" w14:textId="77777777" w:rsidR="00291314" w:rsidRDefault="00291314" w:rsidP="000E11C5">
            <w:r>
              <w:rPr>
                <w:sz w:val="20"/>
                <w:szCs w:val="20"/>
              </w:rPr>
              <w:t>η</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D01E3" w14:textId="77777777" w:rsidR="00291314" w:rsidRDefault="00291314" w:rsidP="000E11C5">
            <w:r>
              <w:rPr>
                <w:sz w:val="20"/>
                <w:szCs w:val="20"/>
              </w:rPr>
              <w:t>7.286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E6842" w14:textId="77777777" w:rsidR="00291314" w:rsidRDefault="00291314" w:rsidP="000E11C5">
            <w:r>
              <w:rPr>
                <w:sz w:val="20"/>
                <w:szCs w:val="20"/>
              </w:rPr>
              <w:t>1,2 %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2A37D" w14:textId="77777777" w:rsidR="00291314" w:rsidRDefault="00291314" w:rsidP="000E11C5">
            <w:r>
              <w:rPr>
                <w:sz w:val="20"/>
                <w:szCs w:val="20"/>
              </w:rPr>
              <w:t>→ C2 (58,6 %), C1 (35,6 %)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6C175" w14:textId="77777777" w:rsidR="00291314" w:rsidRDefault="00291314" w:rsidP="000E11C5">
            <w:r>
              <w:rPr>
                <w:sz w:val="20"/>
                <w:szCs w:val="20"/>
              </w:rPr>
              <w:t>Leve-moderado con buena recuperación</w:t>
            </w:r>
          </w:p>
        </w:tc>
      </w:tr>
      <w:tr w:rsidR="00291314" w14:paraId="5647E206"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A9ADF" w14:textId="77777777" w:rsidR="00291314" w:rsidRDefault="00291314" w:rsidP="000E11C5">
            <w:r>
              <w:rPr>
                <w:sz w:val="20"/>
                <w:szCs w:val="20"/>
              </w:rPr>
              <w:t>κ</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41BA8" w14:textId="77777777" w:rsidR="00291314" w:rsidRDefault="00291314" w:rsidP="000E11C5">
            <w:r>
              <w:rPr>
                <w:sz w:val="20"/>
                <w:szCs w:val="20"/>
              </w:rPr>
              <w:t>6.739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5A9D0" w14:textId="77777777" w:rsidR="00291314" w:rsidRDefault="00291314" w:rsidP="000E11C5">
            <w:r>
              <w:rPr>
                <w:sz w:val="20"/>
                <w:szCs w:val="20"/>
              </w:rPr>
              <w:t>17,1 %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069BB" w14:textId="77777777" w:rsidR="00291314" w:rsidRDefault="00291314" w:rsidP="000E11C5">
            <w:r>
              <w:rPr>
                <w:sz w:val="20"/>
                <w:szCs w:val="20"/>
              </w:rPr>
              <w:t>→ C2 (60,1 %), C4 (17,0 %)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4FB41" w14:textId="77777777" w:rsidR="00291314" w:rsidRDefault="00291314" w:rsidP="000E11C5">
            <w:r>
              <w:rPr>
                <w:sz w:val="20"/>
                <w:szCs w:val="20"/>
              </w:rPr>
              <w:t>C2 dominante con fracción severa moderada</w:t>
            </w:r>
          </w:p>
        </w:tc>
      </w:tr>
      <w:tr w:rsidR="00291314" w14:paraId="622BE26A"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6F239" w14:textId="77777777" w:rsidR="00291314" w:rsidRDefault="00291314" w:rsidP="000E11C5">
            <w:r>
              <w:rPr>
                <w:sz w:val="20"/>
                <w:szCs w:val="20"/>
              </w:rPr>
              <w:t>α</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739B7" w14:textId="77777777" w:rsidR="00291314" w:rsidRDefault="00291314" w:rsidP="000E11C5">
            <w:r>
              <w:rPr>
                <w:sz w:val="20"/>
                <w:szCs w:val="20"/>
              </w:rPr>
              <w:t>4.675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E067C" w14:textId="77777777" w:rsidR="00291314" w:rsidRDefault="00291314" w:rsidP="000E11C5">
            <w:r>
              <w:rPr>
                <w:sz w:val="20"/>
                <w:szCs w:val="20"/>
              </w:rPr>
              <w:t>29,1 %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9731" w14:textId="77777777" w:rsidR="00291314" w:rsidRDefault="00291314" w:rsidP="000E11C5">
            <w:r>
              <w:rPr>
                <w:sz w:val="20"/>
                <w:szCs w:val="20"/>
              </w:rPr>
              <w:t>→ C2 (37,1 %), C3 (30,1 %)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40BF7" w14:textId="77777777" w:rsidR="00291314" w:rsidRDefault="00291314" w:rsidP="000E11C5">
            <w:r>
              <w:rPr>
                <w:sz w:val="20"/>
                <w:szCs w:val="20"/>
              </w:rPr>
              <w:t>Mixto severo-moderado; fronteras difusas C2/C3/C4</w:t>
            </w:r>
          </w:p>
        </w:tc>
      </w:tr>
      <w:tr w:rsidR="00291314" w14:paraId="557EBE8D"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9D4A0" w14:textId="77777777" w:rsidR="00291314" w:rsidRDefault="00291314" w:rsidP="000E11C5">
            <w:r>
              <w:rPr>
                <w:sz w:val="20"/>
                <w:szCs w:val="20"/>
              </w:rPr>
              <w:t>ζ</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EC8FA" w14:textId="77777777" w:rsidR="00291314" w:rsidRDefault="00291314" w:rsidP="000E11C5">
            <w:r>
              <w:rPr>
                <w:sz w:val="20"/>
                <w:szCs w:val="20"/>
              </w:rPr>
              <w:t>3.698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10A45" w14:textId="77777777" w:rsidR="00291314" w:rsidRDefault="00291314" w:rsidP="000E11C5">
            <w:r>
              <w:rPr>
                <w:sz w:val="20"/>
                <w:szCs w:val="20"/>
              </w:rPr>
              <w:t>24,0 %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3BEAC" w14:textId="77777777" w:rsidR="00291314" w:rsidRDefault="00291314" w:rsidP="000E11C5">
            <w:r>
              <w:rPr>
                <w:sz w:val="20"/>
                <w:szCs w:val="20"/>
              </w:rPr>
              <w:t>→ C2 (46,4 %), C4 (23,1 %)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6C2E0" w14:textId="77777777" w:rsidR="00291314" w:rsidRDefault="00291314" w:rsidP="000E11C5">
            <w:r>
              <w:rPr>
                <w:sz w:val="20"/>
                <w:szCs w:val="20"/>
              </w:rPr>
              <w:t>Mixto moderado-severo; contribución severa relevante</w:t>
            </w:r>
          </w:p>
        </w:tc>
      </w:tr>
      <w:tr w:rsidR="00291314" w14:paraId="545C9217"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10362" w14:textId="77777777" w:rsidR="00291314" w:rsidRDefault="00291314" w:rsidP="000E11C5">
            <w:r>
              <w:rPr>
                <w:sz w:val="20"/>
                <w:szCs w:val="20"/>
              </w:rPr>
              <w:t>ε</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BC77A" w14:textId="77777777" w:rsidR="00291314" w:rsidRDefault="00291314" w:rsidP="000E11C5">
            <w:r>
              <w:rPr>
                <w:sz w:val="20"/>
                <w:szCs w:val="20"/>
              </w:rPr>
              <w:t>548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07D59" w14:textId="77777777" w:rsidR="00291314" w:rsidRDefault="00291314" w:rsidP="000E11C5">
            <w:r>
              <w:rPr>
                <w:sz w:val="20"/>
                <w:szCs w:val="20"/>
              </w:rPr>
              <w:t>20,6 %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573B5" w14:textId="77777777" w:rsidR="00291314" w:rsidRDefault="00291314" w:rsidP="000E11C5">
            <w:r>
              <w:rPr>
                <w:sz w:val="20"/>
                <w:szCs w:val="20"/>
              </w:rPr>
              <w:t>→ C3 (68,2 %)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4BF51" w14:textId="77777777" w:rsidR="00291314" w:rsidRDefault="00291314" w:rsidP="000E11C5">
            <w:r>
              <w:rPr>
                <w:sz w:val="20"/>
                <w:szCs w:val="20"/>
              </w:rPr>
              <w:t>Predominio C3 — severo agudo</w:t>
            </w:r>
          </w:p>
        </w:tc>
      </w:tr>
      <w:tr w:rsidR="00291314" w14:paraId="634AD5AC"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D6C5F" w14:textId="77777777" w:rsidR="00291314" w:rsidRDefault="00291314" w:rsidP="000E11C5">
            <w:r>
              <w:rPr>
                <w:sz w:val="20"/>
                <w:szCs w:val="20"/>
              </w:rPr>
              <w:t>ι</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3678E" w14:textId="77777777" w:rsidR="00291314" w:rsidRDefault="00291314" w:rsidP="000E11C5">
            <w:r>
              <w:rPr>
                <w:sz w:val="20"/>
                <w:szCs w:val="20"/>
              </w:rPr>
              <w:t>201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93C5" w14:textId="77777777" w:rsidR="00291314" w:rsidRDefault="00291314" w:rsidP="000E11C5">
            <w:r>
              <w:rPr>
                <w:sz w:val="20"/>
                <w:szCs w:val="20"/>
              </w:rPr>
              <w:t>68,2 %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9B698" w14:textId="77777777" w:rsidR="00291314" w:rsidRDefault="00291314" w:rsidP="000E11C5">
            <w:r>
              <w:rPr>
                <w:sz w:val="20"/>
                <w:szCs w:val="20"/>
              </w:rPr>
              <w:t>→ C4 (48,3 %), C5 (19,9 %)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ED0BE" w14:textId="77777777" w:rsidR="00291314" w:rsidRDefault="00291314" w:rsidP="000E11C5">
            <w:r>
              <w:rPr>
                <w:sz w:val="20"/>
                <w:szCs w:val="20"/>
              </w:rPr>
              <w:t>Severo C4/C5 — alta tasa de eventos críticos</w:t>
            </w:r>
          </w:p>
        </w:tc>
      </w:tr>
      <w:tr w:rsidR="00291314" w14:paraId="1103A4A5"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420B8" w14:textId="77777777" w:rsidR="00291314" w:rsidRDefault="00291314" w:rsidP="000E11C5">
            <w:r>
              <w:rPr>
                <w:sz w:val="20"/>
                <w:szCs w:val="20"/>
              </w:rPr>
              <w:t>θ</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808A3" w14:textId="77777777" w:rsidR="00291314" w:rsidRDefault="00291314" w:rsidP="000E11C5">
            <w:r>
              <w:rPr>
                <w:sz w:val="20"/>
                <w:szCs w:val="20"/>
              </w:rPr>
              <w:t>1.597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02E3A" w14:textId="77777777" w:rsidR="00291314" w:rsidRDefault="00291314" w:rsidP="000E11C5">
            <w:r>
              <w:rPr>
                <w:sz w:val="20"/>
                <w:szCs w:val="20"/>
              </w:rPr>
              <w:t>71,1 %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A5F2E" w14:textId="77777777" w:rsidR="00291314" w:rsidRDefault="00291314" w:rsidP="000E11C5">
            <w:r>
              <w:rPr>
                <w:sz w:val="20"/>
                <w:szCs w:val="20"/>
              </w:rPr>
              <w:t>→ C4 (39,7 %), C5 (31,4 %)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324811" w14:textId="77777777" w:rsidR="00291314" w:rsidRDefault="00291314" w:rsidP="000E11C5">
            <w:r>
              <w:rPr>
                <w:sz w:val="20"/>
                <w:szCs w:val="20"/>
              </w:rPr>
              <w:t>Severo mixto C4/C5 — segundo concentrador</w:t>
            </w:r>
          </w:p>
        </w:tc>
      </w:tr>
      <w:tr w:rsidR="00291314" w14:paraId="631DD548" w14:textId="77777777" w:rsidTr="000E11C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01A11" w14:textId="77777777" w:rsidR="00291314" w:rsidRDefault="00291314" w:rsidP="000E11C5">
            <w:r>
              <w:rPr>
                <w:sz w:val="20"/>
                <w:szCs w:val="20"/>
              </w:rPr>
              <w:t>δ</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4ECFE" w14:textId="77777777" w:rsidR="00291314" w:rsidRDefault="00291314" w:rsidP="000E11C5">
            <w:r>
              <w:rPr>
                <w:sz w:val="20"/>
                <w:szCs w:val="20"/>
              </w:rPr>
              <w:t>151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4BEEB" w14:textId="77777777" w:rsidR="00291314" w:rsidRDefault="00291314" w:rsidP="000E11C5">
            <w:r>
              <w:rPr>
                <w:sz w:val="20"/>
                <w:szCs w:val="20"/>
              </w:rPr>
              <w:t>94,7 %</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CED66" w14:textId="77777777" w:rsidR="00291314" w:rsidRDefault="00291314" w:rsidP="000E11C5">
            <w:r>
              <w:rPr>
                <w:sz w:val="20"/>
                <w:szCs w:val="20"/>
              </w:rPr>
              <w:t>→ C5 (82,5 %), C4 (17,5 %)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4C74" w14:textId="77777777" w:rsidR="00291314" w:rsidRDefault="00291314" w:rsidP="000E11C5">
            <w:r>
              <w:rPr>
                <w:sz w:val="20"/>
                <w:szCs w:val="20"/>
              </w:rPr>
              <w:t>Concentrador máximo de C5 — morfotipo de mayor pureza severa</w:t>
            </w:r>
          </w:p>
        </w:tc>
      </w:tr>
    </w:tbl>
    <w:p w14:paraId="0A8C0E84" w14:textId="77777777" w:rsidR="00291314" w:rsidRDefault="00291314" w:rsidP="00291314">
      <w:pPr>
        <w:spacing w:after="100" w:line="300" w:lineRule="auto"/>
        <w:jc w:val="both"/>
      </w:pPr>
      <w:r>
        <w:rPr>
          <w:i/>
          <w:iCs/>
          <w:sz w:val="20"/>
          <w:szCs w:val="20"/>
        </w:rPr>
        <w:lastRenderedPageBreak/>
        <w:t>Nota. N = 85.286 EDOs. C4+C5 (%): fracción de eventos del morfotipo escalar alineados con morfotipos severos de curva. δ y θ concentran la mayor pureza de morfotipos severos C4/C5.</w:t>
      </w:r>
    </w:p>
    <w:p w14:paraId="3A158BE3" w14:textId="77777777" w:rsidR="00291314" w:rsidRDefault="00291314" w:rsidP="00291314">
      <w:r>
        <w:br w:type="page"/>
      </w:r>
    </w:p>
    <w:p w14:paraId="67A44433" w14:textId="77777777" w:rsidR="00291314" w:rsidRDefault="00291314" w:rsidP="00291314">
      <w:pPr>
        <w:pStyle w:val="Ttulo2"/>
      </w:pPr>
      <w:r>
        <w:rPr>
          <w:rFonts w:ascii="Times New Roman" w:eastAsia="Times New Roman" w:hAnsi="Times New Roman" w:cs="Times New Roman"/>
          <w:b/>
          <w:bCs/>
          <w:sz w:val="26"/>
          <w:szCs w:val="26"/>
        </w:rPr>
        <w:lastRenderedPageBreak/>
        <w:t>Cap 05  PAC States y Caracterización Multiescala</w:t>
      </w:r>
    </w:p>
    <w:p w14:paraId="23D95656" w14:textId="77777777" w:rsidR="00291314" w:rsidRDefault="00291314" w:rsidP="00291314">
      <w:pPr>
        <w:spacing w:before="200" w:after="60"/>
      </w:pPr>
      <w:r>
        <w:rPr>
          <w:b/>
          <w:bCs/>
          <w:sz w:val="20"/>
          <w:szCs w:val="20"/>
        </w:rPr>
        <w:t>Figura 5.1. Estabilidad del ARI nocturno por paciente a lo largo de las noches monitoreadas.</w:t>
      </w:r>
    </w:p>
    <w:p w14:paraId="63D1D3BE" w14:textId="77777777" w:rsidR="00291314" w:rsidRDefault="00291314" w:rsidP="00291314">
      <w:pPr>
        <w:spacing w:after="120"/>
        <w:jc w:val="center"/>
      </w:pPr>
      <w:r>
        <w:rPr>
          <w:noProof/>
        </w:rPr>
        <w:drawing>
          <wp:inline distT="0" distB="0" distL="0" distR="0" wp14:anchorId="32FFC7B3" wp14:editId="199CDDDE">
            <wp:extent cx="5629275" cy="4429125"/>
            <wp:effectExtent l="0" t="0" r="0" b="0"/>
            <wp:docPr id="1551429405" name="01_estabilidad_noche_paciente.png" descr="01_estabilidad_noche_paciente.png" title="01_estabilidad_noche_pac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29275" cy="4429125"/>
                    </a:xfrm>
                    <a:prstGeom prst="rect">
                      <a:avLst/>
                    </a:prstGeom>
                  </pic:spPr>
                </pic:pic>
              </a:graphicData>
            </a:graphic>
          </wp:inline>
        </w:drawing>
      </w:r>
    </w:p>
    <w:p w14:paraId="03B50A33" w14:textId="77777777" w:rsidR="00291314" w:rsidRDefault="00291314" w:rsidP="00291314">
      <w:pPr>
        <w:spacing w:after="100" w:line="300" w:lineRule="auto"/>
        <w:jc w:val="both"/>
      </w:pPr>
      <w:r>
        <w:rPr>
          <w:i/>
          <w:iCs/>
          <w:sz w:val="20"/>
          <w:szCs w:val="20"/>
        </w:rPr>
        <w:t>Nota. Cada panel corresponde a un paciente (orden cronológico, solo noches quality, n = 560). Líneas horizontales: media del ARI nocturno del paciente; barras de error: IQR noche a noche. Origen: NB03.</w:t>
      </w:r>
    </w:p>
    <w:p w14:paraId="535508C3" w14:textId="77777777" w:rsidR="00291314" w:rsidRDefault="00291314" w:rsidP="00291314">
      <w:pPr>
        <w:spacing w:before="400" w:after="60"/>
      </w:pPr>
      <w:r>
        <w:rPr>
          <w:rFonts w:ascii="Arial" w:hAnsi="Arial" w:cs="Arial"/>
          <w:b/>
          <w:bCs/>
          <w:sz w:val="20"/>
          <w:szCs w:val="20"/>
        </w:rPr>
        <w:t>Figura 5.2. Perfil fisiológico de los siete estados de escala S (30 s).</w:t>
      </w:r>
    </w:p>
    <w:p w14:paraId="003E1090" w14:textId="77777777" w:rsidR="00291314" w:rsidRDefault="00291314" w:rsidP="00291314">
      <w:pPr>
        <w:spacing w:after="120"/>
        <w:jc w:val="center"/>
      </w:pPr>
      <w:r>
        <w:rPr>
          <w:noProof/>
        </w:rPr>
        <w:lastRenderedPageBreak/>
        <w:drawing>
          <wp:inline distT="0" distB="0" distL="0" distR="0" wp14:anchorId="31F85E33" wp14:editId="2042881F">
            <wp:extent cx="5629275" cy="3099998"/>
            <wp:effectExtent l="0" t="0" r="0" b="0"/>
            <wp:docPr id="10" name="04_fisiologia_por_estado_s.png" descr="04_fisiologia_por_estado_s.png" title="04_fisiologia_por_estado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29275" cy="3099998"/>
                    </a:xfrm>
                    <a:prstGeom prst="rect">
                      <a:avLst/>
                    </a:prstGeom>
                  </pic:spPr>
                </pic:pic>
              </a:graphicData>
            </a:graphic>
          </wp:inline>
        </w:drawing>
      </w:r>
    </w:p>
    <w:p w14:paraId="680E111E" w14:textId="77777777" w:rsidR="00291314" w:rsidRDefault="00291314" w:rsidP="00291314">
      <w:pPr>
        <w:spacing w:after="200"/>
        <w:jc w:val="both"/>
      </w:pPr>
      <w:r>
        <w:rPr>
          <w:rFonts w:ascii="Arial" w:hAnsi="Arial" w:cs="Arial"/>
          <w:i/>
          <w:iCs/>
          <w:sz w:val="18"/>
          <w:szCs w:val="18"/>
        </w:rPr>
        <w:t>Perfil medio ± IQR de SpO</w:t>
      </w:r>
      <w:r>
        <w:rPr>
          <w:rFonts w:ascii="Cambria Math" w:hAnsi="Cambria Math" w:cs="Cambria Math"/>
          <w:i/>
          <w:iCs/>
          <w:sz w:val="18"/>
          <w:szCs w:val="18"/>
        </w:rPr>
        <w:t>₂</w:t>
      </w:r>
      <w:r>
        <w:rPr>
          <w:rFonts w:ascii="Arial" w:hAnsi="Arial" w:cs="Arial"/>
          <w:i/>
          <w:iCs/>
          <w:sz w:val="18"/>
          <w:szCs w:val="18"/>
        </w:rPr>
        <w:t>, FC y MOV para cada estado S0–S6 durante ventanas de 30 s. Los estados S4 y S5 muestran los patrones de mayor carga hipóxica y reactividad autonómica respectivamente. Origen: NB04.</w:t>
      </w:r>
    </w:p>
    <w:p w14:paraId="7EB39D90" w14:textId="77777777" w:rsidR="00291314" w:rsidRDefault="00291314" w:rsidP="00291314">
      <w:pPr>
        <w:spacing w:before="400" w:after="60"/>
      </w:pPr>
      <w:r>
        <w:rPr>
          <w:rFonts w:ascii="Arial" w:hAnsi="Arial" w:cs="Arial"/>
          <w:b/>
          <w:bCs/>
          <w:sz w:val="20"/>
          <w:szCs w:val="20"/>
        </w:rPr>
        <w:t>Figura 5.3. Perfil fisiológico de los cinco estados de escala M (5 min).</w:t>
      </w:r>
    </w:p>
    <w:p w14:paraId="4BB09A98" w14:textId="77777777" w:rsidR="00291314" w:rsidRDefault="00291314" w:rsidP="00291314">
      <w:pPr>
        <w:spacing w:after="120"/>
        <w:jc w:val="center"/>
      </w:pPr>
      <w:r>
        <w:rPr>
          <w:noProof/>
        </w:rPr>
        <w:drawing>
          <wp:inline distT="0" distB="0" distL="0" distR="0" wp14:anchorId="336CCC94" wp14:editId="6FF10FE5">
            <wp:extent cx="5629275" cy="3099998"/>
            <wp:effectExtent l="0" t="0" r="0" b="0"/>
            <wp:docPr id="11" name="04_fisiologia_por_estado_m.png" descr="04_fisiologia_por_estado_m.png" title="04_fisiologia_por_estado_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29275" cy="3099998"/>
                    </a:xfrm>
                    <a:prstGeom prst="rect">
                      <a:avLst/>
                    </a:prstGeom>
                  </pic:spPr>
                </pic:pic>
              </a:graphicData>
            </a:graphic>
          </wp:inline>
        </w:drawing>
      </w:r>
    </w:p>
    <w:p w14:paraId="512787AB" w14:textId="77777777" w:rsidR="00291314" w:rsidRDefault="00291314" w:rsidP="00291314">
      <w:pPr>
        <w:spacing w:after="200"/>
        <w:jc w:val="both"/>
      </w:pPr>
      <w:r>
        <w:rPr>
          <w:rFonts w:ascii="Arial" w:hAnsi="Arial" w:cs="Arial"/>
          <w:i/>
          <w:iCs/>
          <w:sz w:val="18"/>
          <w:szCs w:val="18"/>
        </w:rPr>
        <w:t>Perfil medio ± IQR de SpO</w:t>
      </w:r>
      <w:r>
        <w:rPr>
          <w:rFonts w:ascii="Cambria Math" w:hAnsi="Cambria Math" w:cs="Cambria Math"/>
          <w:i/>
          <w:iCs/>
          <w:sz w:val="18"/>
          <w:szCs w:val="18"/>
        </w:rPr>
        <w:t>₂</w:t>
      </w:r>
      <w:r>
        <w:rPr>
          <w:rFonts w:ascii="Arial" w:hAnsi="Arial" w:cs="Arial"/>
          <w:i/>
          <w:iCs/>
          <w:sz w:val="18"/>
          <w:szCs w:val="18"/>
        </w:rPr>
        <w:t>, FC y MOV para cada estado M0–M4 durante ventanas de 5 min. M1 presenta la mayor correlación con T90 (ρ = +0,744) y carga hipóxica (ρ = +0,618) de todo el sistema PAC States. Origen: NB04.</w:t>
      </w:r>
    </w:p>
    <w:p w14:paraId="748C8BC7" w14:textId="77777777" w:rsidR="00291314" w:rsidRDefault="00291314" w:rsidP="00291314">
      <w:pPr>
        <w:spacing w:before="400" w:after="60"/>
      </w:pPr>
      <w:r>
        <w:rPr>
          <w:rFonts w:ascii="Arial" w:hAnsi="Arial" w:cs="Arial"/>
          <w:b/>
          <w:bCs/>
          <w:sz w:val="20"/>
          <w:szCs w:val="20"/>
        </w:rPr>
        <w:t>Figura 5.4. Perfil fisiológico de los cuatro estados de escala L (30 min).</w:t>
      </w:r>
    </w:p>
    <w:p w14:paraId="4EDB3745" w14:textId="77777777" w:rsidR="00291314" w:rsidRDefault="00291314" w:rsidP="00291314">
      <w:pPr>
        <w:spacing w:after="120"/>
        <w:jc w:val="center"/>
      </w:pPr>
      <w:r>
        <w:rPr>
          <w:noProof/>
        </w:rPr>
        <w:lastRenderedPageBreak/>
        <w:drawing>
          <wp:inline distT="0" distB="0" distL="0" distR="0" wp14:anchorId="0DFBC4FF" wp14:editId="0EC12768">
            <wp:extent cx="5629275" cy="3099998"/>
            <wp:effectExtent l="0" t="0" r="0" b="0"/>
            <wp:docPr id="12" name="04_fisiologia_por_estado_l.png" descr="04_fisiologia_por_estado_l.png" title="04_fisiologia_por_estado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29275" cy="3099998"/>
                    </a:xfrm>
                    <a:prstGeom prst="rect">
                      <a:avLst/>
                    </a:prstGeom>
                  </pic:spPr>
                </pic:pic>
              </a:graphicData>
            </a:graphic>
          </wp:inline>
        </w:drawing>
      </w:r>
    </w:p>
    <w:p w14:paraId="4AE43426" w14:textId="77777777" w:rsidR="00291314" w:rsidRDefault="00291314" w:rsidP="00291314">
      <w:pPr>
        <w:spacing w:after="200"/>
        <w:jc w:val="both"/>
      </w:pPr>
      <w:r>
        <w:rPr>
          <w:rFonts w:ascii="Arial" w:hAnsi="Arial" w:cs="Arial"/>
          <w:i/>
          <w:iCs/>
          <w:sz w:val="18"/>
          <w:szCs w:val="18"/>
        </w:rPr>
        <w:t>Perfil medio ± IQR de SpO</w:t>
      </w:r>
      <w:r>
        <w:rPr>
          <w:rFonts w:ascii="Cambria Math" w:hAnsi="Cambria Math" w:cs="Cambria Math"/>
          <w:i/>
          <w:iCs/>
          <w:sz w:val="18"/>
          <w:szCs w:val="18"/>
        </w:rPr>
        <w:t>₂</w:t>
      </w:r>
      <w:r>
        <w:rPr>
          <w:rFonts w:ascii="Arial" w:hAnsi="Arial" w:cs="Arial"/>
          <w:i/>
          <w:iCs/>
          <w:sz w:val="18"/>
          <w:szCs w:val="18"/>
        </w:rPr>
        <w:t>, FC y MOV para cada estado L0–L3 durante ventanas de 30 min. L0 es el polo de hipoxemia sostenida (ρ T90 = +0,705); L3 el polo de baja carga con mayor correlación con el ARI nocturno (ρ = +0,357). Origen: NB04.</w:t>
      </w:r>
    </w:p>
    <w:p w14:paraId="2FB166BB" w14:textId="77777777" w:rsidR="00291314" w:rsidRDefault="00291314" w:rsidP="00291314">
      <w:pPr>
        <w:spacing w:before="400" w:after="60"/>
      </w:pPr>
      <w:r>
        <w:rPr>
          <w:rFonts w:ascii="Arial" w:hAnsi="Arial" w:cs="Arial"/>
          <w:b/>
          <w:bCs/>
          <w:sz w:val="20"/>
          <w:szCs w:val="20"/>
        </w:rPr>
        <w:t>Figura 5.5. Mapa de correlaciones de Spearman entre features nocturnas multiescala (S + M + L).</w:t>
      </w:r>
    </w:p>
    <w:p w14:paraId="43BECE01" w14:textId="77777777" w:rsidR="00291314" w:rsidRDefault="00291314" w:rsidP="00291314">
      <w:pPr>
        <w:spacing w:after="120"/>
        <w:jc w:val="center"/>
      </w:pPr>
      <w:r>
        <w:rPr>
          <w:noProof/>
        </w:rPr>
        <w:drawing>
          <wp:inline distT="0" distB="0" distL="0" distR="0" wp14:anchorId="2311802C" wp14:editId="716EE515">
            <wp:extent cx="5629275" cy="3829654"/>
            <wp:effectExtent l="0" t="0" r="0" b="0"/>
            <wp:docPr id="13" name="04_correlaciones_multiescala_completo.png" descr="04_correlaciones_multiescala_completo.png" title="04_correlaciones_multiescala_compl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29275" cy="3829654"/>
                    </a:xfrm>
                    <a:prstGeom prst="rect">
                      <a:avLst/>
                    </a:prstGeom>
                  </pic:spPr>
                </pic:pic>
              </a:graphicData>
            </a:graphic>
          </wp:inline>
        </w:drawing>
      </w:r>
    </w:p>
    <w:p w14:paraId="09F1CD70" w14:textId="77777777" w:rsidR="00291314" w:rsidRDefault="00291314" w:rsidP="00291314">
      <w:pPr>
        <w:spacing w:after="200"/>
        <w:jc w:val="both"/>
      </w:pPr>
      <w:r>
        <w:rPr>
          <w:rFonts w:ascii="Arial" w:hAnsi="Arial" w:cs="Arial"/>
          <w:i/>
          <w:iCs/>
          <w:sz w:val="18"/>
          <w:szCs w:val="18"/>
        </w:rPr>
        <w:t>Correlaciones de Spearman entre las 15 fracciones de estado PAC (frac_s_S0–S5, frac_m_M0–M4, frac_l_L0–L3) y los índices nocturnos (ODI3, T90, ARI, HB</w:t>
      </w:r>
      <w:r>
        <w:rPr>
          <w:rFonts w:ascii="Cambria Math" w:hAnsi="Cambria Math" w:cs="Cambria Math"/>
          <w:i/>
          <w:iCs/>
          <w:sz w:val="18"/>
          <w:szCs w:val="18"/>
        </w:rPr>
        <w:t>₃</w:t>
      </w:r>
      <w:r>
        <w:rPr>
          <w:rFonts w:ascii="Arial" w:hAnsi="Arial" w:cs="Arial"/>
          <w:i/>
          <w:iCs/>
          <w:sz w:val="18"/>
          <w:szCs w:val="18"/>
        </w:rPr>
        <w:t>). La especialización funcional S4→frecuencia, M1→carga hipóxica, S5→reactividad autonómica emerge del patrón de correlaciones. Origen: NB04, n = 560 noches.</w:t>
      </w:r>
    </w:p>
    <w:p w14:paraId="1C6309B2" w14:textId="77777777" w:rsidR="00291314" w:rsidRDefault="00291314" w:rsidP="00291314">
      <w:pPr>
        <w:spacing w:before="200" w:after="60"/>
      </w:pPr>
      <w:r>
        <w:rPr>
          <w:b/>
          <w:bCs/>
          <w:sz w:val="20"/>
          <w:szCs w:val="20"/>
        </w:rPr>
        <w:lastRenderedPageBreak/>
        <w:t>Figura 5.6. PCA multiescala y fenotipos nocturnos (K = 3). Proyección de 560 noches quality en el plano PC1–PC2.</w:t>
      </w:r>
    </w:p>
    <w:p w14:paraId="1E77BA7F" w14:textId="77777777" w:rsidR="00291314" w:rsidRDefault="00291314" w:rsidP="00291314">
      <w:pPr>
        <w:spacing w:after="120"/>
        <w:jc w:val="center"/>
      </w:pPr>
      <w:r>
        <w:rPr>
          <w:noProof/>
        </w:rPr>
        <w:drawing>
          <wp:inline distT="0" distB="0" distL="0" distR="0" wp14:anchorId="4657534F" wp14:editId="1F23E122">
            <wp:extent cx="5629275" cy="4105275"/>
            <wp:effectExtent l="0" t="0" r="0" b="0"/>
            <wp:docPr id="255094902" name="04_pca_clusters_multiescala.png" descr="04_pca_clusters_multiescala.png" title="04_pca_clusters_multie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29275" cy="4105275"/>
                    </a:xfrm>
                    <a:prstGeom prst="rect">
                      <a:avLst/>
                    </a:prstGeom>
                  </pic:spPr>
                </pic:pic>
              </a:graphicData>
            </a:graphic>
          </wp:inline>
        </w:drawing>
      </w:r>
    </w:p>
    <w:p w14:paraId="723A62E4" w14:textId="77777777" w:rsidR="00291314" w:rsidRDefault="00291314" w:rsidP="00291314">
      <w:pPr>
        <w:spacing w:after="100" w:line="300" w:lineRule="auto"/>
        <w:jc w:val="both"/>
      </w:pPr>
      <w:r>
        <w:rPr>
          <w:i/>
          <w:iCs/>
          <w:sz w:val="20"/>
          <w:szCs w:val="20"/>
        </w:rPr>
        <w:t>Nota. PC1 = 36,7 % (loadings dominantes: frac_s_S2, frac_s_S1, frac_m_M0); PC2 = 12,1 %. Los tres clusters se superponen parcialmente en PC1–PC2; la separación es más clara en dimensiones superiores. Origen: NB04.</w:t>
      </w:r>
    </w:p>
    <w:p w14:paraId="44F0ACFA" w14:textId="77777777" w:rsidR="00291314" w:rsidRDefault="00291314" w:rsidP="00291314">
      <w:r>
        <w:br w:type="page"/>
      </w:r>
    </w:p>
    <w:p w14:paraId="6028DF17" w14:textId="77777777" w:rsidR="00291314" w:rsidRDefault="00291314" w:rsidP="00291314">
      <w:pPr>
        <w:pStyle w:val="Ttulo2"/>
      </w:pPr>
      <w:r>
        <w:rPr>
          <w:rFonts w:ascii="Times New Roman" w:eastAsia="Times New Roman" w:hAnsi="Times New Roman" w:cs="Times New Roman"/>
          <w:b/>
          <w:bCs/>
          <w:sz w:val="26"/>
          <w:szCs w:val="26"/>
        </w:rPr>
        <w:lastRenderedPageBreak/>
        <w:t>Cap 06  Modelado Predictivo Basado en PAC</w:t>
      </w:r>
    </w:p>
    <w:p w14:paraId="1B036141" w14:textId="77777777" w:rsidR="00291314" w:rsidRDefault="00291314" w:rsidP="00291314">
      <w:pPr>
        <w:spacing w:before="200" w:after="60"/>
      </w:pPr>
      <w:r>
        <w:rPr>
          <w:b/>
          <w:bCs/>
          <w:sz w:val="20"/>
          <w:szCs w:val="20"/>
        </w:rPr>
        <w:t>Figura 6.10. Distribución condicional P(morfotipo | estado PAC) en las tres escalas.</w:t>
      </w:r>
    </w:p>
    <w:p w14:paraId="6BB6C3AB" w14:textId="77777777" w:rsidR="00291314" w:rsidRDefault="00291314" w:rsidP="00291314">
      <w:pPr>
        <w:spacing w:after="120"/>
        <w:jc w:val="center"/>
      </w:pPr>
      <w:r>
        <w:rPr>
          <w:noProof/>
        </w:rPr>
        <w:drawing>
          <wp:inline distT="0" distB="0" distL="0" distR="0" wp14:anchorId="3E808A40" wp14:editId="64449C3A">
            <wp:extent cx="5629275" cy="1838325"/>
            <wp:effectExtent l="0" t="0" r="0" b="0"/>
            <wp:docPr id="1789793733" name="05A_01_prob_morph_dado_estado.png" descr="05A_01_prob_morph_dado_estado.png" title="05A_01_prob_morph_dado_e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29275" cy="1838325"/>
                    </a:xfrm>
                    <a:prstGeom prst="rect">
                      <a:avLst/>
                    </a:prstGeom>
                  </pic:spPr>
                </pic:pic>
              </a:graphicData>
            </a:graphic>
          </wp:inline>
        </w:drawing>
      </w:r>
    </w:p>
    <w:p w14:paraId="5D7D54C8" w14:textId="77777777" w:rsidR="00291314" w:rsidRDefault="00291314" w:rsidP="00291314">
      <w:pPr>
        <w:spacing w:after="100" w:line="300" w:lineRule="auto"/>
        <w:jc w:val="both"/>
      </w:pPr>
      <w:r>
        <w:rPr>
          <w:i/>
          <w:iCs/>
          <w:sz w:val="20"/>
          <w:szCs w:val="20"/>
        </w:rPr>
        <w:t>Nota. Los estados patológicos (S6, M1, L0) concentran una proporción marcadamente superior de morfotipos C4 o C5. V de Cramér: S = 0,355; M = 0,229; L = 0,194. Origen: NB05, Sección 2. n = 83.892 eventos, 12 pacientes.</w:t>
      </w:r>
    </w:p>
    <w:p w14:paraId="2C2A5872" w14:textId="77777777" w:rsidR="00291314" w:rsidRDefault="00291314" w:rsidP="00291314">
      <w:pPr>
        <w:spacing w:after="120"/>
        <w:jc w:val="center"/>
      </w:pPr>
      <w:r>
        <w:rPr>
          <w:noProof/>
        </w:rPr>
        <w:drawing>
          <wp:inline distT="0" distB="0" distL="0" distR="0" wp14:anchorId="372A5B40" wp14:editId="6EFB7B97">
            <wp:extent cx="5629275" cy="1647825"/>
            <wp:effectExtent l="0" t="0" r="0" b="0"/>
            <wp:docPr id="48143025" name="05B_03_riesgo_relativo_multiscala.png" descr="05B_03_riesgo_relativo_multiscala.png" title="05B_03_riesgo_relativo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29275" cy="1647825"/>
                    </a:xfrm>
                    <a:prstGeom prst="rect">
                      <a:avLst/>
                    </a:prstGeom>
                  </pic:spPr>
                </pic:pic>
              </a:graphicData>
            </a:graphic>
          </wp:inline>
        </w:drawing>
      </w:r>
    </w:p>
    <w:p w14:paraId="6F8FD472" w14:textId="77777777" w:rsidR="00291314" w:rsidRDefault="00291314" w:rsidP="00291314">
      <w:pPr>
        <w:spacing w:after="100" w:line="300" w:lineRule="auto"/>
        <w:jc w:val="both"/>
      </w:pPr>
      <w:r>
        <w:rPr>
          <w:i/>
          <w:iCs/>
          <w:sz w:val="20"/>
          <w:szCs w:val="20"/>
        </w:rPr>
        <w:t>Nota. Los estados patológicos S6, M1 y L0 presentan los RR más elevados (4,9×, 3,3× y 2,0× respectivamente). La magnitud del RR decrece con la escala temporal. P(severo) marginal = 5,73 %. Origen: NB05, Sección 2.</w:t>
      </w:r>
    </w:p>
    <w:p w14:paraId="7BD5FABE" w14:textId="77777777" w:rsidR="00291314" w:rsidRDefault="00291314" w:rsidP="00291314">
      <w:pPr>
        <w:spacing w:after="120"/>
        <w:jc w:val="center"/>
      </w:pPr>
      <w:r>
        <w:rPr>
          <w:noProof/>
        </w:rPr>
        <w:drawing>
          <wp:inline distT="0" distB="0" distL="0" distR="0" wp14:anchorId="40C14BCA" wp14:editId="5285487E">
            <wp:extent cx="5629275" cy="3105150"/>
            <wp:effectExtent l="0" t="0" r="0" b="0"/>
            <wp:docPr id="1157157745" name="cap06_concepto_coupling_index.png" descr="cap06_concepto_coupling_index.png" title="cap06_concepto_coupling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29275" cy="3105150"/>
                    </a:xfrm>
                    <a:prstGeom prst="rect">
                      <a:avLst/>
                    </a:prstGeom>
                  </pic:spPr>
                </pic:pic>
              </a:graphicData>
            </a:graphic>
          </wp:inline>
        </w:drawing>
      </w:r>
    </w:p>
    <w:p w14:paraId="5B01496D" w14:textId="77777777" w:rsidR="00291314" w:rsidRDefault="00291314" w:rsidP="00291314">
      <w:pPr>
        <w:spacing w:after="100" w:line="300" w:lineRule="auto"/>
        <w:jc w:val="both"/>
      </w:pPr>
      <w:r>
        <w:rPr>
          <w:i/>
          <w:iCs/>
          <w:sz w:val="20"/>
          <w:szCs w:val="20"/>
        </w:rPr>
        <w:lastRenderedPageBreak/>
        <w:t>Nota. El estado fisiológico activo en los 5 minutos previos al evento predice la morfología de la caída de SpO₂. P(severo | M0) &lt; 2 %; P(severo | M1) ~ 19,6 %. V de Cramér escala M = 0,229 (NB05, 83.892 eventos).</w:t>
      </w:r>
    </w:p>
    <w:p w14:paraId="5B6AC4EB" w14:textId="77777777" w:rsidR="00291314" w:rsidRDefault="00291314" w:rsidP="00291314">
      <w:pPr>
        <w:spacing w:before="200" w:after="60"/>
      </w:pPr>
      <w:r>
        <w:rPr>
          <w:b/>
          <w:bCs/>
          <w:sz w:val="20"/>
          <w:szCs w:val="20"/>
        </w:rPr>
        <w:t>Figura 6.11. Coupling Index (CI) en las tres escalas temporales (n = 560 noches).</w:t>
      </w:r>
    </w:p>
    <w:p w14:paraId="2A1161E9" w14:textId="77777777" w:rsidR="00291314" w:rsidRDefault="00291314" w:rsidP="00291314">
      <w:pPr>
        <w:spacing w:after="120"/>
        <w:jc w:val="center"/>
      </w:pPr>
      <w:r>
        <w:rPr>
          <w:noProof/>
        </w:rPr>
        <w:drawing>
          <wp:inline distT="0" distB="0" distL="0" distR="0" wp14:anchorId="5E3AE7E2" wp14:editId="14DEA857">
            <wp:extent cx="5629275" cy="1752600"/>
            <wp:effectExtent l="0" t="0" r="0" b="0"/>
            <wp:docPr id="2051599130" name="05A_04_coupling_multiscala.png" descr="05A_04_coupling_multiscala.png" title="05A_04_coupling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29275" cy="1752600"/>
                    </a:xfrm>
                    <a:prstGeom prst="rect">
                      <a:avLst/>
                    </a:prstGeom>
                  </pic:spPr>
                </pic:pic>
              </a:graphicData>
            </a:graphic>
          </wp:inline>
        </w:drawing>
      </w:r>
    </w:p>
    <w:p w14:paraId="77E5E8C1" w14:textId="77777777" w:rsidR="00291314" w:rsidRDefault="00291314" w:rsidP="00291314">
      <w:pPr>
        <w:spacing w:after="100" w:line="300" w:lineRule="auto"/>
        <w:jc w:val="both"/>
      </w:pPr>
      <w:r>
        <w:rPr>
          <w:i/>
          <w:iCs/>
          <w:sz w:val="20"/>
          <w:szCs w:val="20"/>
        </w:rPr>
        <w:t>Nota. Cada punto representa una noche. Independencia entre ci_s y ci_m (r = 0,066); correlación moderada entre ci_m y ci_l (r = 0,291). Las tres escalas capturan dimensiones no redundantes del riesgo nocturno. Origen: NB05, Sección 3.</w:t>
      </w:r>
    </w:p>
    <w:p w14:paraId="4A1F2E65" w14:textId="77777777" w:rsidR="00291314" w:rsidRDefault="00291314" w:rsidP="00291314">
      <w:pPr>
        <w:spacing w:before="200" w:after="60"/>
      </w:pPr>
      <w:r>
        <w:rPr>
          <w:b/>
          <w:bCs/>
          <w:sz w:val="20"/>
          <w:szCs w:val="20"/>
        </w:rPr>
        <w:t>Figura 6.12. Resiliencia fisiológica post-evento en las tres escalas temporales.</w:t>
      </w:r>
    </w:p>
    <w:p w14:paraId="2943C351" w14:textId="77777777" w:rsidR="00291314" w:rsidRDefault="00291314" w:rsidP="00291314">
      <w:pPr>
        <w:spacing w:after="120"/>
        <w:jc w:val="center"/>
      </w:pPr>
      <w:r>
        <w:rPr>
          <w:noProof/>
        </w:rPr>
        <w:drawing>
          <wp:inline distT="0" distB="0" distL="0" distR="0" wp14:anchorId="3CECBFE9" wp14:editId="618B3139">
            <wp:extent cx="5629275" cy="1752600"/>
            <wp:effectExtent l="0" t="0" r="0" b="0"/>
            <wp:docPr id="1890304025" name="05B_04_resiliencia_multiscala.png" descr="05B_04_resiliencia_multiscala.png" title="05B_04_resiliencia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29275" cy="1752600"/>
                    </a:xfrm>
                    <a:prstGeom prst="rect">
                      <a:avLst/>
                    </a:prstGeom>
                  </pic:spPr>
                </pic:pic>
              </a:graphicData>
            </a:graphic>
          </wp:inline>
        </w:drawing>
      </w:r>
    </w:p>
    <w:p w14:paraId="27A8C01C" w14:textId="77777777" w:rsidR="00291314" w:rsidRDefault="00291314" w:rsidP="00291314">
      <w:pPr>
        <w:spacing w:after="100" w:line="300" w:lineRule="auto"/>
        <w:jc w:val="both"/>
      </w:pPr>
      <w:r>
        <w:rPr>
          <w:i/>
          <w:iCs/>
          <w:sz w:val="20"/>
          <w:szCs w:val="20"/>
        </w:rPr>
        <w:t>Nota. Fracción de eventos severos en estado patológico seguidos de retorno protector (resiliente) vs. persistencia patológica (colapsado). Gradiente 43,3 % → 12,3 % → 1,3 % (S/M/L). n = 4.602 eventos C4+C5. Origen: NB05, Sección 4.</w:t>
      </w:r>
    </w:p>
    <w:p w14:paraId="0FDEC92B" w14:textId="77777777" w:rsidR="00291314" w:rsidRDefault="00291314" w:rsidP="00291314">
      <w:pPr>
        <w:spacing w:after="120"/>
        <w:jc w:val="center"/>
      </w:pPr>
      <w:r>
        <w:rPr>
          <w:noProof/>
        </w:rPr>
        <w:drawing>
          <wp:inline distT="0" distB="0" distL="0" distR="0" wp14:anchorId="33EC40E8" wp14:editId="0982DF06">
            <wp:extent cx="5629275" cy="2438400"/>
            <wp:effectExtent l="0" t="0" r="0" b="0"/>
            <wp:docPr id="1050029216" name="cap06_noches_contrastadas.png" descr="cap06_noches_contrastadas.png" title="cap06_noches_contrasta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29275" cy="2438400"/>
                    </a:xfrm>
                    <a:prstGeom prst="rect">
                      <a:avLst/>
                    </a:prstGeom>
                  </pic:spPr>
                </pic:pic>
              </a:graphicData>
            </a:graphic>
          </wp:inline>
        </w:drawing>
      </w:r>
    </w:p>
    <w:p w14:paraId="70D825AC" w14:textId="77777777" w:rsidR="00291314" w:rsidRDefault="00291314" w:rsidP="00291314">
      <w:pPr>
        <w:spacing w:after="100" w:line="300" w:lineRule="auto"/>
        <w:jc w:val="both"/>
      </w:pPr>
      <w:r>
        <w:rPr>
          <w:i/>
          <w:iCs/>
          <w:sz w:val="20"/>
          <w:szCs w:val="20"/>
        </w:rPr>
        <w:lastRenderedPageBreak/>
        <w:t>Nota. La distribución de eventos en zonas protectoras (verde) o patológicas (rojo) determina el CI. El ODI3 no distingue estos perfiles; el CI sí. Valores ilustrativos consistentes con la distribución empírica del corpus (NB05 §3).</w:t>
      </w:r>
    </w:p>
    <w:p w14:paraId="2F2A3A63" w14:textId="77777777" w:rsidR="00291314" w:rsidRDefault="00291314" w:rsidP="00291314">
      <w:pPr>
        <w:spacing w:before="200" w:after="60"/>
      </w:pPr>
      <w:r>
        <w:rPr>
          <w:b/>
          <w:bCs/>
          <w:sz w:val="20"/>
          <w:szCs w:val="20"/>
        </w:rPr>
        <w:t>Figura 6.13. Matrices de transición Markoviana de los PAC States en las tres escalas.</w:t>
      </w:r>
    </w:p>
    <w:p w14:paraId="020EA808" w14:textId="77777777" w:rsidR="00291314" w:rsidRDefault="00291314" w:rsidP="00291314">
      <w:pPr>
        <w:spacing w:after="120"/>
        <w:jc w:val="center"/>
      </w:pPr>
      <w:r>
        <w:rPr>
          <w:noProof/>
        </w:rPr>
        <w:drawing>
          <wp:inline distT="0" distB="0" distL="0" distR="0" wp14:anchorId="7CB29B61" wp14:editId="6AFFCCE6">
            <wp:extent cx="5629275" cy="1638300"/>
            <wp:effectExtent l="0" t="0" r="0" b="0"/>
            <wp:docPr id="1533797852" name="05B_01_markov_transicion.png" descr="05B_01_markov_transicion.png" title="05B_01_markov_transi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29275" cy="1638300"/>
                    </a:xfrm>
                    <a:prstGeom prst="rect">
                      <a:avLst/>
                    </a:prstGeom>
                  </pic:spPr>
                </pic:pic>
              </a:graphicData>
            </a:graphic>
          </wp:inline>
        </w:drawing>
      </w:r>
    </w:p>
    <w:p w14:paraId="0750FA00" w14:textId="77777777" w:rsidR="00291314" w:rsidRDefault="00291314" w:rsidP="00291314">
      <w:pPr>
        <w:spacing w:after="100" w:line="300" w:lineRule="auto"/>
        <w:jc w:val="both"/>
      </w:pPr>
      <w:r>
        <w:rPr>
          <w:i/>
          <w:iCs/>
          <w:sz w:val="20"/>
          <w:szCs w:val="20"/>
        </w:rPr>
        <w:t>Nota. La intensidad del color representa la probabilidad de transición del estado fila al estado columna. Los atractores (S1, M0, L3) presentan alta probabilidad de auto-transición. Transiciones: S = 462.519; M = 45.900; L = 7.196. Origen: NB05, Sección 5.</w:t>
      </w:r>
    </w:p>
    <w:p w14:paraId="4893833B" w14:textId="77777777" w:rsidR="00291314" w:rsidRDefault="00291314" w:rsidP="00291314">
      <w:pPr>
        <w:spacing w:after="120"/>
        <w:jc w:val="center"/>
      </w:pPr>
      <w:r>
        <w:rPr>
          <w:noProof/>
        </w:rPr>
        <w:drawing>
          <wp:inline distT="0" distB="0" distL="0" distR="0" wp14:anchorId="72648CB6" wp14:editId="16771762">
            <wp:extent cx="5629275" cy="3105150"/>
            <wp:effectExtent l="0" t="0" r="0" b="0"/>
            <wp:docPr id="393442074" name="cap06_concepto_resiliencia.png" descr="cap06_concepto_resiliencia.png" title="cap06_concepto_resili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29275" cy="3105150"/>
                    </a:xfrm>
                    <a:prstGeom prst="rect">
                      <a:avLst/>
                    </a:prstGeom>
                  </pic:spPr>
                </pic:pic>
              </a:graphicData>
            </a:graphic>
          </wp:inline>
        </w:drawing>
      </w:r>
    </w:p>
    <w:p w14:paraId="5E1E45DD" w14:textId="77777777" w:rsidR="00291314" w:rsidRDefault="00291314" w:rsidP="00291314">
      <w:pPr>
        <w:spacing w:after="100" w:line="300" w:lineRule="auto"/>
        <w:jc w:val="both"/>
      </w:pPr>
      <w:r>
        <w:rPr>
          <w:i/>
          <w:iCs/>
          <w:sz w:val="20"/>
          <w:szCs w:val="20"/>
        </w:rPr>
        <w:t>Nota. Tras un evento severo (C4/C5), la probabilidad de retornar a estado protector (resiliencia) cae a distintas velocidades: 43,3 % a los 30 s (S), 12,3 % a los 5 min (M), 1,3 % a los 30 min (L). La probabilidad de permanecer en estado patológico (colapsado) es 40,2 % (S), 80,4 % (M) y 74,5 % (L). Porcentajes calculados sobre corpus de 560 noches (NB05 §4).</w:t>
      </w:r>
    </w:p>
    <w:p w14:paraId="4A6B1F3A" w14:textId="77777777" w:rsidR="00291314" w:rsidRDefault="00291314" w:rsidP="00291314">
      <w:pPr>
        <w:spacing w:before="200" w:after="60"/>
      </w:pPr>
      <w:r>
        <w:rPr>
          <w:b/>
          <w:bCs/>
          <w:sz w:val="20"/>
          <w:szCs w:val="20"/>
        </w:rPr>
        <w:t>Figura 6.14. Trayectorias nocturnas en el espacio PCA, coloreadas por fenotipo dinámico PAC.</w:t>
      </w:r>
    </w:p>
    <w:p w14:paraId="0A99DC26" w14:textId="77777777" w:rsidR="00291314" w:rsidRDefault="00291314" w:rsidP="00291314">
      <w:pPr>
        <w:spacing w:after="120"/>
        <w:jc w:val="center"/>
      </w:pPr>
      <w:r>
        <w:rPr>
          <w:noProof/>
        </w:rPr>
        <w:lastRenderedPageBreak/>
        <w:drawing>
          <wp:inline distT="0" distB="0" distL="0" distR="0" wp14:anchorId="71C8C86A" wp14:editId="3EBD8517">
            <wp:extent cx="5629275" cy="2571750"/>
            <wp:effectExtent l="0" t="0" r="0" b="0"/>
            <wp:docPr id="1163077607" name="05B_05_trayectorias_nocturnas.png" descr="05B_05_trayectorias_nocturnas.png" title="05B_05_trayectorias_nocturn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29275" cy="2571750"/>
                    </a:xfrm>
                    <a:prstGeom prst="rect">
                      <a:avLst/>
                    </a:prstGeom>
                  </pic:spPr>
                </pic:pic>
              </a:graphicData>
            </a:graphic>
          </wp:inline>
        </w:drawing>
      </w:r>
    </w:p>
    <w:p w14:paraId="4B9F5CBE" w14:textId="77777777" w:rsidR="00291314" w:rsidRDefault="00291314" w:rsidP="00291314">
      <w:pPr>
        <w:spacing w:after="100" w:line="300" w:lineRule="auto"/>
        <w:jc w:val="both"/>
      </w:pPr>
      <w:r>
        <w:rPr>
          <w:i/>
          <w:iCs/>
          <w:sz w:val="20"/>
          <w:szCs w:val="20"/>
        </w:rPr>
        <w:t>Nota. PC1 (33,6 %): gradiente de carga hipóxica / respuesta autonómica; PC2 (23,6 %): gradiente de dinamismo. El fenotipo Carga Hipóxica Alta se localiza en el extremo negativo de PC1 con baja variabilidad. n = 513 noches, 12 pacientes. Origen: NB05, Sección 6.</w:t>
      </w:r>
    </w:p>
    <w:p w14:paraId="3BB5D50B" w14:textId="77777777" w:rsidR="00291314" w:rsidRDefault="00291314" w:rsidP="00291314">
      <w:pPr>
        <w:spacing w:before="200" w:after="60"/>
      </w:pPr>
      <w:r>
        <w:rPr>
          <w:b/>
          <w:bCs/>
          <w:sz w:val="20"/>
          <w:szCs w:val="20"/>
        </w:rPr>
        <w:t>Figura 6.15. Curvas ROC y Precision-Recall: LightGBM vs. regresión logística basal (NB07 Bloque B).</w:t>
      </w:r>
    </w:p>
    <w:p w14:paraId="49BACFAD" w14:textId="77777777" w:rsidR="00291314" w:rsidRDefault="00291314" w:rsidP="00291314">
      <w:pPr>
        <w:spacing w:after="120"/>
        <w:jc w:val="center"/>
      </w:pPr>
      <w:r>
        <w:rPr>
          <w:noProof/>
        </w:rPr>
        <w:drawing>
          <wp:inline distT="0" distB="0" distL="0" distR="0" wp14:anchorId="07A7A37E" wp14:editId="4537CDF9">
            <wp:extent cx="5629275" cy="2333625"/>
            <wp:effectExtent l="0" t="0" r="0" b="0"/>
            <wp:docPr id="2100312695" name="06B_01_roc_pr_evento.png" descr="06B_01_roc_pr_evento.png" title="06B_01_roc_pr_ev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29275" cy="2333625"/>
                    </a:xfrm>
                    <a:prstGeom prst="rect">
                      <a:avLst/>
                    </a:prstGeom>
                  </pic:spPr>
                </pic:pic>
              </a:graphicData>
            </a:graphic>
          </wp:inline>
        </w:drawing>
      </w:r>
    </w:p>
    <w:p w14:paraId="1EBE0108" w14:textId="77777777" w:rsidR="00291314" w:rsidRDefault="00291314" w:rsidP="00291314">
      <w:pPr>
        <w:spacing w:after="100" w:line="300" w:lineRule="auto"/>
        <w:jc w:val="both"/>
      </w:pPr>
      <w:r>
        <w:rPr>
          <w:i/>
          <w:iCs/>
          <w:sz w:val="20"/>
          <w:szCs w:val="20"/>
        </w:rPr>
        <w:t>Nota. AUC = 0,878 (LightGBM) vs. 0,743 (LR). AP = 0,240 vs. 0,164. Baseline AP = 5,56 %. n = 76.053 eventos, 8 pacientes, LOPO-CV. Origen: NB07, Bloque B.</w:t>
      </w:r>
    </w:p>
    <w:p w14:paraId="7A3A59EF" w14:textId="77777777" w:rsidR="00291314" w:rsidRDefault="00291314" w:rsidP="00291314">
      <w:pPr>
        <w:spacing w:after="120"/>
        <w:jc w:val="center"/>
      </w:pPr>
      <w:r>
        <w:rPr>
          <w:noProof/>
        </w:rPr>
        <w:lastRenderedPageBreak/>
        <w:drawing>
          <wp:inline distT="0" distB="0" distL="0" distR="0" wp14:anchorId="08E5A1F3" wp14:editId="6C82AE9B">
            <wp:extent cx="5629275" cy="2343150"/>
            <wp:effectExtent l="0" t="0" r="0" b="0"/>
            <wp:docPr id="209837313" name="06C_01_roc_clasificacion_noche.png" descr="06C_01_roc_clasificacion_noche.png" title="06C_01_roc_clasificacion_no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29275" cy="2343150"/>
                    </a:xfrm>
                    <a:prstGeom prst="rect">
                      <a:avLst/>
                    </a:prstGeom>
                  </pic:spPr>
                </pic:pic>
              </a:graphicData>
            </a:graphic>
          </wp:inline>
        </w:drawing>
      </w:r>
    </w:p>
    <w:p w14:paraId="2B991159" w14:textId="77777777" w:rsidR="00291314" w:rsidRDefault="00291314" w:rsidP="00291314">
      <w:pPr>
        <w:spacing w:after="100" w:line="300" w:lineRule="auto"/>
        <w:jc w:val="both"/>
      </w:pPr>
      <w:r>
        <w:rPr>
          <w:i/>
          <w:iCs/>
          <w:sz w:val="20"/>
          <w:szCs w:val="20"/>
        </w:rPr>
        <w:t>Nota. Logística: AUC = 0,905, AP = 0,834. Random Forest: AUC = 0,777, AP = 0,633. Baseline AP = 0,348. n = 540 noches, 8 pacientes. AUC global calculado sobre pool de folds con ambas clases presentes (4 de 8 pacientes). Origen: NB07, Bloque C.</w:t>
      </w:r>
    </w:p>
    <w:p w14:paraId="2A3B4FFC" w14:textId="77777777" w:rsidR="00291314" w:rsidRDefault="00291314" w:rsidP="00291314">
      <w:pPr>
        <w:spacing w:after="120"/>
        <w:jc w:val="center"/>
      </w:pPr>
      <w:r>
        <w:rPr>
          <w:noProof/>
        </w:rPr>
        <w:drawing>
          <wp:inline distT="0" distB="0" distL="0" distR="0" wp14:anchorId="6C716D83" wp14:editId="56832882">
            <wp:extent cx="5629275" cy="2152650"/>
            <wp:effectExtent l="0" t="0" r="0" b="0"/>
            <wp:docPr id="881275025" name="06D_01_risk_score_por_tier.png" descr="06D_01_risk_score_por_tier.png" title="06D_01_risk_score_por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29275" cy="2152650"/>
                    </a:xfrm>
                    <a:prstGeom prst="rect">
                      <a:avLst/>
                    </a:prstGeom>
                  </pic:spPr>
                </pic:pic>
              </a:graphicData>
            </a:graphic>
          </wp:inline>
        </w:drawing>
      </w:r>
    </w:p>
    <w:p w14:paraId="4078496B" w14:textId="77777777" w:rsidR="00291314" w:rsidRDefault="00291314" w:rsidP="00291314">
      <w:pPr>
        <w:spacing w:after="100" w:line="300" w:lineRule="auto"/>
        <w:jc w:val="both"/>
      </w:pPr>
      <w:r>
        <w:rPr>
          <w:i/>
          <w:iCs/>
          <w:sz w:val="20"/>
          <w:szCs w:val="20"/>
        </w:rPr>
        <w:t>Nota. Medianas: 25,6 (Normal) / 31,6 (Leve) / 72,2 (Moderado) / 80,8 (Severo). El 100 % de las Severas superan el umbral 60; el 74,3 % de las Moderadas; el 11,7 % de las Leves; el 0 % de las Normales. n = 540 noches. Origen: NB07, Bloque D.</w:t>
      </w:r>
    </w:p>
    <w:p w14:paraId="61A563AA" w14:textId="77777777" w:rsidR="00291314" w:rsidRDefault="00291314" w:rsidP="00291314">
      <w:r>
        <w:br w:type="page"/>
      </w:r>
    </w:p>
    <w:p w14:paraId="20ED49C6" w14:textId="77777777" w:rsidR="00291314" w:rsidRDefault="00291314" w:rsidP="00291314">
      <w:pPr>
        <w:pStyle w:val="Ttulo2"/>
      </w:pPr>
      <w:r>
        <w:rPr>
          <w:rFonts w:ascii="Times New Roman" w:eastAsia="Times New Roman" w:hAnsi="Times New Roman" w:cs="Times New Roman"/>
          <w:b/>
          <w:bCs/>
          <w:sz w:val="26"/>
          <w:szCs w:val="26"/>
        </w:rPr>
        <w:lastRenderedPageBreak/>
        <w:t>Cap 08  Predicción Prospectiva con Horizonte Temporal</w:t>
      </w:r>
    </w:p>
    <w:p w14:paraId="4A3402AD" w14:textId="77777777" w:rsidR="00291314" w:rsidRDefault="00291314" w:rsidP="00291314">
      <w:pPr>
        <w:spacing w:before="200" w:after="60"/>
      </w:pPr>
      <w:r>
        <w:rPr>
          <w:b/>
          <w:bCs/>
          <w:sz w:val="20"/>
          <w:szCs w:val="20"/>
        </w:rPr>
        <w:t>Figura 8.1. Dataset de ventanas: características del corpus (NB08).</w:t>
      </w:r>
    </w:p>
    <w:p w14:paraId="48578735" w14:textId="77777777" w:rsidR="00291314" w:rsidRDefault="00291314" w:rsidP="00291314">
      <w:pPr>
        <w:spacing w:after="120"/>
        <w:jc w:val="center"/>
      </w:pPr>
      <w:r>
        <w:rPr>
          <w:noProof/>
        </w:rPr>
        <w:drawing>
          <wp:inline distT="0" distB="0" distL="0" distR="0" wp14:anchorId="00B5EF0D" wp14:editId="5EA087CF">
            <wp:extent cx="5629275" cy="2152650"/>
            <wp:effectExtent l="0" t="0" r="0" b="0"/>
            <wp:docPr id="1804569236" name="08A_exploratorio.png" descr="08A_exploratorio.png" title="08A_explorato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29275" cy="2152650"/>
                    </a:xfrm>
                    <a:prstGeom prst="rect">
                      <a:avLst/>
                    </a:prstGeom>
                  </pic:spPr>
                </pic:pic>
              </a:graphicData>
            </a:graphic>
          </wp:inline>
        </w:drawing>
      </w:r>
    </w:p>
    <w:p w14:paraId="60EAC65B" w14:textId="77777777" w:rsidR="00291314" w:rsidRDefault="00291314" w:rsidP="00291314">
      <w:pPr>
        <w:spacing w:after="100" w:line="300" w:lineRule="auto"/>
        <w:jc w:val="both"/>
      </w:pPr>
      <w:r>
        <w:rPr>
          <w:i/>
          <w:iCs/>
          <w:sz w:val="20"/>
          <w:szCs w:val="20"/>
        </w:rPr>
        <w:t>Nota. Panel izquierdo: prevalencia de ventanas con C4/C5 por horizonte (3,74 % → 18,89 %). Panel derecho: distribución del ci_sofar en ventanas positivas vs. negativas (H = 5 min). n = 452.955 ventanas, 8 pacientes. Origen: NB08.</w:t>
      </w:r>
    </w:p>
    <w:p w14:paraId="29C8838D" w14:textId="77777777" w:rsidR="00291314" w:rsidRDefault="00291314" w:rsidP="00291314">
      <w:pPr>
        <w:spacing w:before="200" w:after="60"/>
      </w:pPr>
      <w:r>
        <w:rPr>
          <w:b/>
          <w:bCs/>
          <w:sz w:val="20"/>
          <w:szCs w:val="20"/>
        </w:rPr>
        <w:t>Figura 8.2. Rendimiento discriminativo por horizonte — AUC y AP vs. lead time (NB08, LightGBM LOPO-CV).</w:t>
      </w:r>
    </w:p>
    <w:p w14:paraId="0C6B80AF" w14:textId="77777777" w:rsidR="00291314" w:rsidRDefault="00291314" w:rsidP="00291314">
      <w:pPr>
        <w:spacing w:after="120"/>
        <w:jc w:val="center"/>
      </w:pPr>
      <w:r>
        <w:rPr>
          <w:noProof/>
        </w:rPr>
        <w:drawing>
          <wp:inline distT="0" distB="0" distL="0" distR="0" wp14:anchorId="4F86F1FB" wp14:editId="06FE1110">
            <wp:extent cx="5629275" cy="2095500"/>
            <wp:effectExtent l="0" t="0" r="0" b="0"/>
            <wp:docPr id="2066982483" name="08B_auc_vs_lead_time.png" descr="08B_auc_vs_lead_time.png" title="08B_auc_vs_lead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29275" cy="2095500"/>
                    </a:xfrm>
                    <a:prstGeom prst="rect">
                      <a:avLst/>
                    </a:prstGeom>
                  </pic:spPr>
                </pic:pic>
              </a:graphicData>
            </a:graphic>
          </wp:inline>
        </w:drawing>
      </w:r>
    </w:p>
    <w:p w14:paraId="13345F7E" w14:textId="77777777" w:rsidR="00291314" w:rsidRDefault="00291314" w:rsidP="00291314">
      <w:pPr>
        <w:spacing w:after="100" w:line="300" w:lineRule="auto"/>
        <w:jc w:val="both"/>
      </w:pPr>
      <w:r>
        <w:rPr>
          <w:i/>
          <w:iCs/>
          <w:sz w:val="20"/>
          <w:szCs w:val="20"/>
        </w:rPr>
        <w:t>Nota. Panel izquierdo: AUC-ROC y AP por horizonte (LightGBM vs. Logística). Panel central: curvas ROC por horizonte. Panel derecho: tabla resumen. H = 5 min óptimo: AUC = 0,821, AP = 0,326. Origen: NB08.</w:t>
      </w:r>
    </w:p>
    <w:p w14:paraId="5B4014CD" w14:textId="77777777" w:rsidR="00291314" w:rsidRDefault="00291314" w:rsidP="00291314">
      <w:pPr>
        <w:spacing w:before="200" w:after="60"/>
      </w:pPr>
      <w:r>
        <w:rPr>
          <w:b/>
          <w:bCs/>
          <w:sz w:val="20"/>
          <w:szCs w:val="20"/>
        </w:rPr>
        <w:t>Figura 8.3. Importancia de features LightGBM por horizonte (gain, modelo completo).</w:t>
      </w:r>
    </w:p>
    <w:p w14:paraId="446AE6DF" w14:textId="77777777" w:rsidR="00291314" w:rsidRDefault="00291314" w:rsidP="00291314">
      <w:pPr>
        <w:spacing w:after="120"/>
        <w:jc w:val="center"/>
      </w:pPr>
      <w:r>
        <w:rPr>
          <w:noProof/>
        </w:rPr>
        <w:drawing>
          <wp:inline distT="0" distB="0" distL="0" distR="0" wp14:anchorId="5BE15559" wp14:editId="6E941C8F">
            <wp:extent cx="5629275" cy="1552575"/>
            <wp:effectExtent l="0" t="0" r="0" b="0"/>
            <wp:docPr id="836866338" name="08C_feature_importance_por_horizonte.png" descr="08C_feature_importance_por_horizonte.png" title="08C_feature_importance_por_horizo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29275" cy="1552575"/>
                    </a:xfrm>
                    <a:prstGeom prst="rect">
                      <a:avLst/>
                    </a:prstGeom>
                  </pic:spPr>
                </pic:pic>
              </a:graphicData>
            </a:graphic>
          </wp:inline>
        </w:drawing>
      </w:r>
    </w:p>
    <w:p w14:paraId="5427D027" w14:textId="77777777" w:rsidR="00291314" w:rsidRDefault="00291314" w:rsidP="00291314">
      <w:pPr>
        <w:spacing w:after="100" w:line="300" w:lineRule="auto"/>
        <w:jc w:val="both"/>
      </w:pPr>
      <w:r>
        <w:rPr>
          <w:i/>
          <w:iCs/>
          <w:sz w:val="20"/>
          <w:szCs w:val="20"/>
        </w:rPr>
        <w:lastRenderedPageBreak/>
        <w:t>Nota. window_position y ci_sofar dominan la importancia en todos los horizontes. El ranking de los cinco primeros features no cambia entre H = 2 min y H = 15 min. Origen: NB08.</w:t>
      </w:r>
    </w:p>
    <w:p w14:paraId="16694B87" w14:textId="77777777" w:rsidR="00291314" w:rsidRDefault="00291314" w:rsidP="00291314">
      <w:pPr>
        <w:spacing w:before="200" w:after="60"/>
      </w:pPr>
      <w:r>
        <w:rPr>
          <w:b/>
          <w:bCs/>
          <w:sz w:val="20"/>
          <w:szCs w:val="20"/>
        </w:rPr>
        <w:t>Figura 8.4. AUC por paciente y horizonte (LOPO-CV, LightGBM).</w:t>
      </w:r>
    </w:p>
    <w:p w14:paraId="608327F9" w14:textId="77777777" w:rsidR="00291314" w:rsidRDefault="00291314" w:rsidP="00291314">
      <w:pPr>
        <w:spacing w:after="120"/>
        <w:jc w:val="center"/>
      </w:pPr>
      <w:r>
        <w:rPr>
          <w:noProof/>
        </w:rPr>
        <w:drawing>
          <wp:inline distT="0" distB="0" distL="0" distR="0" wp14:anchorId="43188300" wp14:editId="1E6663CE">
            <wp:extent cx="5629275" cy="3924300"/>
            <wp:effectExtent l="0" t="0" r="0" b="0"/>
            <wp:docPr id="631377235" name="08E_auc_por_paciente.png" descr="08E_auc_por_paciente.png" title="08E_auc_por_pac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29275" cy="3924300"/>
                    </a:xfrm>
                    <a:prstGeom prst="rect">
                      <a:avLst/>
                    </a:prstGeom>
                  </pic:spPr>
                </pic:pic>
              </a:graphicData>
            </a:graphic>
          </wp:inline>
        </w:drawing>
      </w:r>
    </w:p>
    <w:p w14:paraId="22A1628F" w14:textId="77777777" w:rsidR="00291314" w:rsidRDefault="00291314" w:rsidP="00291314">
      <w:pPr>
        <w:spacing w:after="100" w:line="300" w:lineRule="auto"/>
        <w:jc w:val="both"/>
      </w:pPr>
      <w:r>
        <w:rPr>
          <w:i/>
          <w:iCs/>
          <w:sz w:val="20"/>
          <w:szCs w:val="20"/>
        </w:rPr>
        <w:t>Nota. Mapa de calor de AUC para los 8 pacientes × 4 horizontes. Todos los AUC &gt; 0,73. El Paciente 314 (mayor AUC, menor prevalencia) ilustra la ortogonalidad entre discriminación y prevalencia. Origen: NB08.</w:t>
      </w:r>
    </w:p>
    <w:p w14:paraId="244EDF64" w14:textId="77777777" w:rsidR="00291314" w:rsidRDefault="00291314" w:rsidP="00291314">
      <w:pPr>
        <w:spacing w:before="200" w:after="60"/>
      </w:pPr>
      <w:r>
        <w:rPr>
          <w:b/>
          <w:bCs/>
          <w:sz w:val="20"/>
          <w:szCs w:val="20"/>
        </w:rPr>
        <w:t>Figura 8.5. Análisis operacional: umbral clínico por horizonte (LightGBM, LOPO-CV).</w:t>
      </w:r>
    </w:p>
    <w:p w14:paraId="00DCD832" w14:textId="77777777" w:rsidR="00291314" w:rsidRDefault="00291314" w:rsidP="00291314">
      <w:pPr>
        <w:spacing w:after="120"/>
        <w:jc w:val="center"/>
      </w:pPr>
      <w:r>
        <w:rPr>
          <w:noProof/>
        </w:rPr>
        <w:drawing>
          <wp:inline distT="0" distB="0" distL="0" distR="0" wp14:anchorId="590F9047" wp14:editId="451EE7B5">
            <wp:extent cx="5629275" cy="1552575"/>
            <wp:effectExtent l="0" t="0" r="0" b="0"/>
            <wp:docPr id="1341383921" name="08D_umbral_operacional.png" descr="08D_umbral_operacional.png" title="08D_umbral_opera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29275" cy="1552575"/>
                    </a:xfrm>
                    <a:prstGeom prst="rect">
                      <a:avLst/>
                    </a:prstGeom>
                  </pic:spPr>
                </pic:pic>
              </a:graphicData>
            </a:graphic>
          </wp:inline>
        </w:drawing>
      </w:r>
    </w:p>
    <w:p w14:paraId="335EB9FA" w14:textId="77777777" w:rsidR="00291314" w:rsidRDefault="00291314" w:rsidP="00291314">
      <w:pPr>
        <w:spacing w:after="100" w:line="300" w:lineRule="auto"/>
        <w:jc w:val="both"/>
      </w:pPr>
      <w:r>
        <w:rPr>
          <w:i/>
          <w:iCs/>
          <w:sz w:val="20"/>
          <w:szCs w:val="20"/>
        </w:rPr>
        <w:t>Nota. Curvas de sensibilidad y especificidad en función del umbral de clasificación para los cuatro horizontes. La línea punteada indica el umbral de Youden. H = 5 min: Youden = 0,46, Sens = 0,75, Spec = 0,74. Origen: NB08.</w:t>
      </w:r>
    </w:p>
    <w:p w14:paraId="54116E0F" w14:textId="77777777" w:rsidR="00291314" w:rsidRDefault="00291314" w:rsidP="00291314">
      <w:pPr>
        <w:spacing w:before="200" w:after="60"/>
      </w:pPr>
      <w:r>
        <w:rPr>
          <w:b/>
          <w:bCs/>
          <w:sz w:val="20"/>
          <w:szCs w:val="20"/>
        </w:rPr>
        <w:t>Figura 8.6. Perfil de riesgo temporal a lo largo de la noche y calibración del modelo (H = 5 min).</w:t>
      </w:r>
    </w:p>
    <w:p w14:paraId="3BB80A4E" w14:textId="77777777" w:rsidR="00291314" w:rsidRDefault="00291314" w:rsidP="00291314">
      <w:pPr>
        <w:spacing w:after="120"/>
        <w:jc w:val="center"/>
      </w:pPr>
      <w:r>
        <w:rPr>
          <w:noProof/>
        </w:rPr>
        <w:lastRenderedPageBreak/>
        <w:drawing>
          <wp:inline distT="0" distB="0" distL="0" distR="0" wp14:anchorId="4DABE484" wp14:editId="566A8D05">
            <wp:extent cx="5629275" cy="2000250"/>
            <wp:effectExtent l="0" t="0" r="0" b="0"/>
            <wp:docPr id="1643085839" name="08F_perfil_riesgo_temporal.png" descr="08F_perfil_riesgo_temporal.png" title="08F_perfil_riesgo_tempo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29275" cy="2000250"/>
                    </a:xfrm>
                    <a:prstGeom prst="rect">
                      <a:avLst/>
                    </a:prstGeom>
                  </pic:spPr>
                </pic:pic>
              </a:graphicData>
            </a:graphic>
          </wp:inline>
        </w:drawing>
      </w:r>
    </w:p>
    <w:p w14:paraId="1E703432" w14:textId="77777777" w:rsidR="00291314" w:rsidRDefault="00291314" w:rsidP="00291314">
      <w:pPr>
        <w:spacing w:after="100" w:line="300" w:lineRule="auto"/>
        <w:jc w:val="both"/>
      </w:pPr>
      <w:r>
        <w:rPr>
          <w:i/>
          <w:iCs/>
          <w:sz w:val="20"/>
          <w:szCs w:val="20"/>
        </w:rPr>
        <w:t>Nota. Panel izquierdo: riesgo medio predicho por decil de la noche (plano, sin pico temporal claro). Panel derecho: calibración observada vs. predicha — el modelo sobreestima ~4× (predicho ~0,34 vs. real ~0,08), consistente con el entrenamiento sin scale_pos_weight. Origen: NB08.</w:t>
      </w:r>
    </w:p>
    <w:p w14:paraId="518F1E2E" w14:textId="77777777" w:rsidR="00291314" w:rsidRDefault="00291314" w:rsidP="00291314">
      <w:pPr>
        <w:spacing w:before="300" w:after="60"/>
      </w:pPr>
      <w:r>
        <w:rPr>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2800"/>
      </w:tblGrid>
      <w:tr w:rsidR="00291314" w14:paraId="780282ED" w14:textId="77777777" w:rsidTr="000E11C5">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85B781" w14:textId="77777777" w:rsidR="00291314" w:rsidRDefault="00291314" w:rsidP="000E11C5">
            <w:r>
              <w:rPr>
                <w:b/>
                <w:bCs/>
                <w:sz w:val="20"/>
                <w:szCs w:val="20"/>
              </w:rPr>
              <w:t>Horizonte Δt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DDC62C" w14:textId="77777777" w:rsidR="00291314" w:rsidRDefault="00291314" w:rsidP="000E11C5">
            <w:r>
              <w:rPr>
                <w:b/>
                <w:bCs/>
                <w:sz w:val="20"/>
                <w:szCs w:val="20"/>
              </w:rPr>
              <w:t>Ventanas positivas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087EFF" w14:textId="77777777" w:rsidR="00291314" w:rsidRDefault="00291314" w:rsidP="000E11C5">
            <w:r>
              <w:rPr>
                <w:b/>
                <w:bCs/>
                <w:sz w:val="20"/>
                <w:szCs w:val="20"/>
              </w:rPr>
              <w:t>Total ventanas</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FCBD9A" w14:textId="77777777" w:rsidR="00291314" w:rsidRDefault="00291314" w:rsidP="000E11C5">
            <w:r>
              <w:rPr>
                <w:b/>
                <w:bCs/>
                <w:sz w:val="20"/>
                <w:szCs w:val="20"/>
              </w:rPr>
              <w:t>Prevalencia (%)</w:t>
            </w:r>
          </w:p>
        </w:tc>
      </w:tr>
      <w:tr w:rsidR="00291314" w14:paraId="758C3728"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B0F7" w14:textId="77777777" w:rsidR="00291314" w:rsidRDefault="00291314" w:rsidP="000E11C5">
            <w:r>
              <w:rPr>
                <w:sz w:val="20"/>
                <w:szCs w:val="20"/>
              </w:rPr>
              <w:t>2 min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2B8BD" w14:textId="77777777" w:rsidR="00291314" w:rsidRDefault="00291314" w:rsidP="000E11C5">
            <w:r>
              <w:rPr>
                <w:sz w:val="20"/>
                <w:szCs w:val="20"/>
              </w:rPr>
              <w:t>16.951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60FA9" w14:textId="77777777" w:rsidR="00291314" w:rsidRDefault="00291314" w:rsidP="000E11C5">
            <w:r>
              <w:rPr>
                <w:sz w:val="20"/>
                <w:szCs w:val="20"/>
              </w:rPr>
              <w:t>452.955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3C0E7" w14:textId="77777777" w:rsidR="00291314" w:rsidRDefault="00291314" w:rsidP="000E11C5">
            <w:r>
              <w:rPr>
                <w:sz w:val="20"/>
                <w:szCs w:val="20"/>
              </w:rPr>
              <w:t>3,74 %</w:t>
            </w:r>
          </w:p>
        </w:tc>
      </w:tr>
      <w:tr w:rsidR="00291314" w14:paraId="0DC7F45C"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CE02F" w14:textId="77777777" w:rsidR="00291314" w:rsidRDefault="00291314" w:rsidP="000E11C5">
            <w:r>
              <w:rPr>
                <w:sz w:val="20"/>
                <w:szCs w:val="20"/>
              </w:rPr>
              <w:t>5 min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13F12" w14:textId="77777777" w:rsidR="00291314" w:rsidRDefault="00291314" w:rsidP="000E11C5">
            <w:r>
              <w:rPr>
                <w:sz w:val="20"/>
                <w:szCs w:val="20"/>
              </w:rPr>
              <w:t>36.438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D60C5" w14:textId="77777777" w:rsidR="00291314" w:rsidRDefault="00291314" w:rsidP="000E11C5">
            <w:r>
              <w:rPr>
                <w:sz w:val="20"/>
                <w:szCs w:val="20"/>
              </w:rPr>
              <w:t>452.955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62721" w14:textId="77777777" w:rsidR="00291314" w:rsidRDefault="00291314" w:rsidP="000E11C5">
            <w:r>
              <w:rPr>
                <w:sz w:val="20"/>
                <w:szCs w:val="20"/>
              </w:rPr>
              <w:t>8,04 %</w:t>
            </w:r>
          </w:p>
        </w:tc>
      </w:tr>
      <w:tr w:rsidR="00291314" w14:paraId="3BA8875C"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618F4" w14:textId="77777777" w:rsidR="00291314" w:rsidRDefault="00291314" w:rsidP="000E11C5">
            <w:r>
              <w:rPr>
                <w:sz w:val="20"/>
                <w:szCs w:val="20"/>
              </w:rPr>
              <w:t>10 min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2836EF" w14:textId="77777777" w:rsidR="00291314" w:rsidRDefault="00291314" w:rsidP="000E11C5">
            <w:r>
              <w:rPr>
                <w:sz w:val="20"/>
                <w:szCs w:val="20"/>
              </w:rPr>
              <w:t>62.853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0570D" w14:textId="77777777" w:rsidR="00291314" w:rsidRDefault="00291314" w:rsidP="000E11C5">
            <w:r>
              <w:rPr>
                <w:sz w:val="20"/>
                <w:szCs w:val="20"/>
              </w:rPr>
              <w:t>452.955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85A9A" w14:textId="77777777" w:rsidR="00291314" w:rsidRDefault="00291314" w:rsidP="000E11C5">
            <w:r>
              <w:rPr>
                <w:sz w:val="20"/>
                <w:szCs w:val="20"/>
              </w:rPr>
              <w:t>13,88 %</w:t>
            </w:r>
          </w:p>
        </w:tc>
      </w:tr>
      <w:tr w:rsidR="00291314" w14:paraId="5F344A96" w14:textId="77777777" w:rsidTr="000E11C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D9DDA" w14:textId="77777777" w:rsidR="00291314" w:rsidRDefault="00291314" w:rsidP="000E11C5">
            <w:r>
              <w:rPr>
                <w:sz w:val="20"/>
                <w:szCs w:val="20"/>
              </w:rPr>
              <w:t>15 min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D8E55" w14:textId="77777777" w:rsidR="00291314" w:rsidRDefault="00291314" w:rsidP="000E11C5">
            <w:r>
              <w:rPr>
                <w:sz w:val="20"/>
                <w:szCs w:val="20"/>
              </w:rPr>
              <w:t>85.583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A406D" w14:textId="77777777" w:rsidR="00291314" w:rsidRDefault="00291314" w:rsidP="000E11C5">
            <w:r>
              <w:rPr>
                <w:sz w:val="20"/>
                <w:szCs w:val="20"/>
              </w:rPr>
              <w:t>452.955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65E80" w14:textId="77777777" w:rsidR="00291314" w:rsidRDefault="00291314" w:rsidP="000E11C5">
            <w:r>
              <w:rPr>
                <w:sz w:val="20"/>
                <w:szCs w:val="20"/>
              </w:rPr>
              <w:t>18,89 %</w:t>
            </w:r>
          </w:p>
        </w:tc>
      </w:tr>
    </w:tbl>
    <w:p w14:paraId="741E4085" w14:textId="77777777" w:rsidR="00291314" w:rsidRDefault="00291314" w:rsidP="00291314">
      <w:pPr>
        <w:spacing w:after="100" w:line="300" w:lineRule="auto"/>
        <w:jc w:val="both"/>
      </w:pPr>
      <w:r>
        <w:rPr>
          <w:i/>
          <w:iCs/>
          <w:sz w:val="20"/>
          <w:szCs w:val="20"/>
        </w:rPr>
        <w:t>Nota. El horizonte H = 5 min constituye el punto operacional óptimo. La prevalencia aumenta con el horizonte porque ventanas más alejadas tienen mayor probabilidad de que ocurra algún evento severo.</w:t>
      </w:r>
    </w:p>
    <w:p w14:paraId="479E1AF6" w14:textId="77777777" w:rsidR="00291314" w:rsidRDefault="00291314" w:rsidP="00291314">
      <w:pPr>
        <w:spacing w:before="200" w:after="60"/>
      </w:pPr>
      <w:r>
        <w:rPr>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2800"/>
      </w:tblGrid>
      <w:tr w:rsidR="00291314" w14:paraId="681A7B8D" w14:textId="77777777" w:rsidTr="000E11C5">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7D37BF" w14:textId="77777777" w:rsidR="00291314" w:rsidRDefault="00291314" w:rsidP="000E11C5">
            <w:r>
              <w:rPr>
                <w:b/>
                <w:bCs/>
                <w:sz w:val="20"/>
                <w:szCs w:val="20"/>
              </w:rPr>
              <w:t>Paciente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D04ED6" w14:textId="77777777" w:rsidR="00291314" w:rsidRDefault="00291314" w:rsidP="000E11C5">
            <w:r>
              <w:rPr>
                <w:b/>
                <w:bCs/>
                <w:sz w:val="20"/>
                <w:szCs w:val="20"/>
              </w:rPr>
              <w:t>Ventanas totales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D4748" w14:textId="77777777" w:rsidR="00291314" w:rsidRDefault="00291314" w:rsidP="000E11C5">
            <w:r>
              <w:rPr>
                <w:b/>
                <w:bCs/>
                <w:sz w:val="20"/>
                <w:szCs w:val="20"/>
              </w:rPr>
              <w:t>Ventanas positivas</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5438FA" w14:textId="77777777" w:rsidR="00291314" w:rsidRDefault="00291314" w:rsidP="000E11C5">
            <w:r>
              <w:rPr>
                <w:b/>
                <w:bCs/>
                <w:sz w:val="20"/>
                <w:szCs w:val="20"/>
              </w:rPr>
              <w:t>Prevalencia (%)</w:t>
            </w:r>
          </w:p>
        </w:tc>
      </w:tr>
      <w:tr w:rsidR="00291314" w14:paraId="1D4ADFC9" w14:textId="77777777" w:rsidTr="000E11C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2BAEB" w14:textId="77777777" w:rsidR="00291314" w:rsidRDefault="00291314" w:rsidP="000E11C5">
            <w:r>
              <w:rPr>
                <w:sz w:val="20"/>
                <w:szCs w:val="20"/>
              </w:rPr>
              <w:t>175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9BC64" w14:textId="77777777" w:rsidR="00291314" w:rsidRDefault="00291314" w:rsidP="000E11C5">
            <w:r>
              <w:rPr>
                <w:sz w:val="20"/>
                <w:szCs w:val="20"/>
              </w:rPr>
              <w:t>21.271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CF4D5" w14:textId="77777777" w:rsidR="00291314" w:rsidRDefault="00291314" w:rsidP="000E11C5">
            <w:r>
              <w:rPr>
                <w:sz w:val="20"/>
                <w:szCs w:val="20"/>
              </w:rPr>
              <w:t>6.836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98B8A" w14:textId="77777777" w:rsidR="00291314" w:rsidRDefault="00291314" w:rsidP="000E11C5">
            <w:r>
              <w:rPr>
                <w:sz w:val="20"/>
                <w:szCs w:val="20"/>
              </w:rPr>
              <w:t>32,1 %</w:t>
            </w:r>
          </w:p>
        </w:tc>
      </w:tr>
      <w:tr w:rsidR="00291314" w14:paraId="2243A0F6" w14:textId="77777777" w:rsidTr="000E11C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7F3C4" w14:textId="77777777" w:rsidR="00291314" w:rsidRDefault="00291314" w:rsidP="000E11C5">
            <w:r>
              <w:rPr>
                <w:sz w:val="20"/>
                <w:szCs w:val="20"/>
              </w:rPr>
              <w:t>240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F8691" w14:textId="77777777" w:rsidR="00291314" w:rsidRDefault="00291314" w:rsidP="000E11C5">
            <w:r>
              <w:rPr>
                <w:sz w:val="20"/>
                <w:szCs w:val="20"/>
              </w:rPr>
              <w:t>19.205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A0C6B" w14:textId="77777777" w:rsidR="00291314" w:rsidRDefault="00291314" w:rsidP="000E11C5">
            <w:r>
              <w:rPr>
                <w:sz w:val="20"/>
                <w:szCs w:val="20"/>
              </w:rPr>
              <w:t>2.368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B30FF" w14:textId="77777777" w:rsidR="00291314" w:rsidRDefault="00291314" w:rsidP="000E11C5">
            <w:r>
              <w:rPr>
                <w:sz w:val="20"/>
                <w:szCs w:val="20"/>
              </w:rPr>
              <w:t>12,3 %</w:t>
            </w:r>
          </w:p>
        </w:tc>
      </w:tr>
      <w:tr w:rsidR="00291314" w14:paraId="119A3594" w14:textId="77777777" w:rsidTr="000E11C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2B1F8" w14:textId="77777777" w:rsidR="00291314" w:rsidRDefault="00291314" w:rsidP="000E11C5">
            <w:r>
              <w:rPr>
                <w:sz w:val="20"/>
                <w:szCs w:val="20"/>
              </w:rPr>
              <w:t>309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23E34" w14:textId="77777777" w:rsidR="00291314" w:rsidRDefault="00291314" w:rsidP="000E11C5">
            <w:r>
              <w:rPr>
                <w:sz w:val="20"/>
                <w:szCs w:val="20"/>
              </w:rPr>
              <w:t>53.138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912D3" w14:textId="77777777" w:rsidR="00291314" w:rsidRDefault="00291314" w:rsidP="000E11C5">
            <w:r>
              <w:rPr>
                <w:sz w:val="20"/>
                <w:szCs w:val="20"/>
              </w:rPr>
              <w:t>2.596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422DB" w14:textId="77777777" w:rsidR="00291314" w:rsidRDefault="00291314" w:rsidP="000E11C5">
            <w:r>
              <w:rPr>
                <w:sz w:val="20"/>
                <w:szCs w:val="20"/>
              </w:rPr>
              <w:t>4,9 %</w:t>
            </w:r>
          </w:p>
        </w:tc>
      </w:tr>
      <w:tr w:rsidR="00291314" w14:paraId="2F17E947" w14:textId="77777777" w:rsidTr="000E11C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63891" w14:textId="77777777" w:rsidR="00291314" w:rsidRDefault="00291314" w:rsidP="000E11C5">
            <w:r>
              <w:rPr>
                <w:sz w:val="20"/>
                <w:szCs w:val="20"/>
              </w:rPr>
              <w:t>314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50FA8" w14:textId="77777777" w:rsidR="00291314" w:rsidRDefault="00291314" w:rsidP="000E11C5">
            <w:r>
              <w:rPr>
                <w:sz w:val="20"/>
                <w:szCs w:val="20"/>
              </w:rPr>
              <w:t>7.561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678FA" w14:textId="77777777" w:rsidR="00291314" w:rsidRDefault="00291314" w:rsidP="000E11C5">
            <w:r>
              <w:rPr>
                <w:sz w:val="20"/>
                <w:szCs w:val="20"/>
              </w:rPr>
              <w:t>119</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BB33D" w14:textId="77777777" w:rsidR="00291314" w:rsidRDefault="00291314" w:rsidP="000E11C5">
            <w:r>
              <w:rPr>
                <w:sz w:val="20"/>
                <w:szCs w:val="20"/>
              </w:rPr>
              <w:t>1,6 %</w:t>
            </w:r>
          </w:p>
        </w:tc>
      </w:tr>
      <w:tr w:rsidR="00291314" w14:paraId="5C77E29F" w14:textId="77777777" w:rsidTr="000E11C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D1286" w14:textId="77777777" w:rsidR="00291314" w:rsidRDefault="00291314" w:rsidP="000E11C5">
            <w:r>
              <w:rPr>
                <w:sz w:val="20"/>
                <w:szCs w:val="20"/>
              </w:rPr>
              <w:t>321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C6E54" w14:textId="77777777" w:rsidR="00291314" w:rsidRDefault="00291314" w:rsidP="000E11C5">
            <w:r>
              <w:rPr>
                <w:sz w:val="20"/>
                <w:szCs w:val="20"/>
              </w:rPr>
              <w:t>80.438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16993" w14:textId="77777777" w:rsidR="00291314" w:rsidRDefault="00291314" w:rsidP="000E11C5">
            <w:r>
              <w:rPr>
                <w:sz w:val="20"/>
                <w:szCs w:val="20"/>
              </w:rPr>
              <w:t>3.898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C1D2B" w14:textId="77777777" w:rsidR="00291314" w:rsidRDefault="00291314" w:rsidP="000E11C5">
            <w:r>
              <w:rPr>
                <w:sz w:val="20"/>
                <w:szCs w:val="20"/>
              </w:rPr>
              <w:t>4,8 %</w:t>
            </w:r>
          </w:p>
        </w:tc>
      </w:tr>
      <w:tr w:rsidR="00291314" w14:paraId="4A05B390" w14:textId="77777777" w:rsidTr="000E11C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DCC18" w14:textId="77777777" w:rsidR="00291314" w:rsidRDefault="00291314" w:rsidP="000E11C5">
            <w:r>
              <w:rPr>
                <w:sz w:val="20"/>
                <w:szCs w:val="20"/>
              </w:rPr>
              <w:t>336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A8DC" w14:textId="77777777" w:rsidR="00291314" w:rsidRDefault="00291314" w:rsidP="000E11C5">
            <w:r>
              <w:rPr>
                <w:sz w:val="20"/>
                <w:szCs w:val="20"/>
              </w:rPr>
              <w:t>115.701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9C83A" w14:textId="77777777" w:rsidR="00291314" w:rsidRDefault="00291314" w:rsidP="000E11C5">
            <w:r>
              <w:rPr>
                <w:sz w:val="20"/>
                <w:szCs w:val="20"/>
              </w:rPr>
              <w:t>8.275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33DC7" w14:textId="77777777" w:rsidR="00291314" w:rsidRDefault="00291314" w:rsidP="000E11C5">
            <w:r>
              <w:rPr>
                <w:sz w:val="20"/>
                <w:szCs w:val="20"/>
              </w:rPr>
              <w:t>7,2 %</w:t>
            </w:r>
          </w:p>
        </w:tc>
      </w:tr>
      <w:tr w:rsidR="00291314" w14:paraId="796E2764" w14:textId="77777777" w:rsidTr="000E11C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684F6" w14:textId="77777777" w:rsidR="00291314" w:rsidRDefault="00291314" w:rsidP="000E11C5">
            <w:r>
              <w:rPr>
                <w:sz w:val="20"/>
                <w:szCs w:val="20"/>
              </w:rPr>
              <w:t>656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AF8D" w14:textId="77777777" w:rsidR="00291314" w:rsidRDefault="00291314" w:rsidP="000E11C5">
            <w:r>
              <w:rPr>
                <w:sz w:val="20"/>
                <w:szCs w:val="20"/>
              </w:rPr>
              <w:t>90.886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69A6D" w14:textId="77777777" w:rsidR="00291314" w:rsidRDefault="00291314" w:rsidP="000E11C5">
            <w:r>
              <w:rPr>
                <w:sz w:val="20"/>
                <w:szCs w:val="20"/>
              </w:rPr>
              <w:t>7.165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F1826" w14:textId="77777777" w:rsidR="00291314" w:rsidRDefault="00291314" w:rsidP="000E11C5">
            <w:r>
              <w:rPr>
                <w:sz w:val="20"/>
                <w:szCs w:val="20"/>
              </w:rPr>
              <w:t>7,9 %</w:t>
            </w:r>
          </w:p>
        </w:tc>
      </w:tr>
      <w:tr w:rsidR="00291314" w14:paraId="05F78950" w14:textId="77777777" w:rsidTr="000E11C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A335F" w14:textId="77777777" w:rsidR="00291314" w:rsidRDefault="00291314" w:rsidP="000E11C5">
            <w:r>
              <w:rPr>
                <w:sz w:val="20"/>
                <w:szCs w:val="20"/>
              </w:rPr>
              <w:t>683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189B8" w14:textId="77777777" w:rsidR="00291314" w:rsidRDefault="00291314" w:rsidP="000E11C5">
            <w:r>
              <w:rPr>
                <w:sz w:val="20"/>
                <w:szCs w:val="20"/>
              </w:rPr>
              <w:t>64.755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D393F" w14:textId="77777777" w:rsidR="00291314" w:rsidRDefault="00291314" w:rsidP="000E11C5">
            <w:r>
              <w:rPr>
                <w:sz w:val="20"/>
                <w:szCs w:val="20"/>
              </w:rPr>
              <w:t>5.181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A2B30" w14:textId="77777777" w:rsidR="00291314" w:rsidRDefault="00291314" w:rsidP="000E11C5">
            <w:r>
              <w:rPr>
                <w:sz w:val="20"/>
                <w:szCs w:val="20"/>
              </w:rPr>
              <w:t>8,0 %</w:t>
            </w:r>
          </w:p>
        </w:tc>
      </w:tr>
    </w:tbl>
    <w:p w14:paraId="045B705F" w14:textId="77777777" w:rsidR="00291314" w:rsidRDefault="00291314" w:rsidP="00291314">
      <w:pPr>
        <w:spacing w:after="100" w:line="300" w:lineRule="auto"/>
        <w:jc w:val="both"/>
      </w:pPr>
      <w:r>
        <w:rPr>
          <w:i/>
          <w:iCs/>
          <w:sz w:val="20"/>
          <w:szCs w:val="20"/>
        </w:rPr>
        <w:t>Nota. Cohorte estricta, horizonte 5 min. La variabilidad de 20× entre Pac 314 (1,6 %) y Pac 175 (32,1 %) es el principal desafío para la definición de un umbral de activación único.</w:t>
      </w:r>
    </w:p>
    <w:p w14:paraId="04E20879" w14:textId="77777777" w:rsidR="00291314" w:rsidRDefault="00291314"/>
    <w:sectPr w:rsidR="00291314" w:rsidSect="00291314">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14"/>
    <w:rsid w:val="000E7985"/>
    <w:rsid w:val="002913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E025EAA"/>
  <w15:chartTrackingRefBased/>
  <w15:docId w15:val="{646AC33B-45EF-2747-8F94-2E2DAF2CC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314"/>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9131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29131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29131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29131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291314"/>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291314"/>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291314"/>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291314"/>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291314"/>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13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13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13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13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13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13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13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13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1314"/>
    <w:rPr>
      <w:rFonts w:eastAsiaTheme="majorEastAsia" w:cstheme="majorBidi"/>
      <w:color w:val="272727" w:themeColor="text1" w:themeTint="D8"/>
    </w:rPr>
  </w:style>
  <w:style w:type="paragraph" w:styleId="Ttulo">
    <w:name w:val="Title"/>
    <w:basedOn w:val="Normal"/>
    <w:next w:val="Normal"/>
    <w:link w:val="TtuloCar"/>
    <w:uiPriority w:val="10"/>
    <w:qFormat/>
    <w:rsid w:val="0029131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2913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131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2913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1314"/>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291314"/>
    <w:rPr>
      <w:i/>
      <w:iCs/>
      <w:color w:val="404040" w:themeColor="text1" w:themeTint="BF"/>
    </w:rPr>
  </w:style>
  <w:style w:type="paragraph" w:styleId="Prrafodelista">
    <w:name w:val="List Paragraph"/>
    <w:basedOn w:val="Normal"/>
    <w:uiPriority w:val="34"/>
    <w:qFormat/>
    <w:rsid w:val="0029131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291314"/>
    <w:rPr>
      <w:i/>
      <w:iCs/>
      <w:color w:val="0F4761" w:themeColor="accent1" w:themeShade="BF"/>
    </w:rPr>
  </w:style>
  <w:style w:type="paragraph" w:styleId="Citadestacada">
    <w:name w:val="Intense Quote"/>
    <w:basedOn w:val="Normal"/>
    <w:next w:val="Normal"/>
    <w:link w:val="CitadestacadaCar"/>
    <w:uiPriority w:val="30"/>
    <w:qFormat/>
    <w:rsid w:val="0029131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291314"/>
    <w:rPr>
      <w:i/>
      <w:iCs/>
      <w:color w:val="0F4761" w:themeColor="accent1" w:themeShade="BF"/>
    </w:rPr>
  </w:style>
  <w:style w:type="character" w:styleId="Referenciaintensa">
    <w:name w:val="Intense Reference"/>
    <w:basedOn w:val="Fuentedeprrafopredeter"/>
    <w:uiPriority w:val="32"/>
    <w:qFormat/>
    <w:rsid w:val="00291314"/>
    <w:rPr>
      <w:b/>
      <w:bCs/>
      <w:smallCaps/>
      <w:color w:val="0F4761" w:themeColor="accent1" w:themeShade="BF"/>
      <w:spacing w:val="5"/>
    </w:rPr>
  </w:style>
  <w:style w:type="character" w:styleId="Fuerte">
    <w:name w:val="Strong"/>
    <w:basedOn w:val="Fuentedeprrafopredeter"/>
    <w:uiPriority w:val="22"/>
    <w:qFormat/>
    <w:rsid w:val="00291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9096</Words>
  <Characters>46212</Characters>
  <Application>Microsoft Office Word</Application>
  <DocSecurity>0</DocSecurity>
  <Lines>1650</Lines>
  <Paragraphs>1202</Paragraphs>
  <ScaleCrop>false</ScaleCrop>
  <Company/>
  <LinksUpToDate>false</LinksUpToDate>
  <CharactersWithSpaces>54106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Inza</dc:creator>
  <cp:keywords/>
  <dc:description/>
  <cp:lastModifiedBy>Roberto Inza</cp:lastModifiedBy>
  <cp:revision>1</cp:revision>
  <dcterms:created xsi:type="dcterms:W3CDTF">2026-06-10T12:03:00Z</dcterms:created>
  <dcterms:modified xsi:type="dcterms:W3CDTF">2026-06-10T12:04:00Z</dcterms:modified>
</cp:coreProperties>
</file>