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Written Report</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This dataset analyzes 15 different schools to better understand the behavior of the overall passing rates for reading and writing scores in relation to their budgets.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The per school summary data frame shows that the bottom-performing schools by overall passing percentage rates have higher total school budgets. Moreover, spending ranges per student did not result in better performance compared to students with lower spending ranges in other subjects. This indicates an inverse relationship where higher spending correlates with lower academic performance in grades.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Furthermore, average reading and math scores remain consistent across all grades for each school, showing no disparity. Additionally, observing the summary of the data based on school size reveals that schools with 2000-5000 students tend to have lower scores and passing rates in all subjects compared to medium and small-sized schools.</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Overall, Charter schools tend to have higher passing scores in Math and Reading compared to District schools.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