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Guion de sustentación de JaqueBot</w:t>
      </w:r>
    </w:p>
    <w:p>
      <w:pPr>
        <w:pStyle w:val="Subtitle"/>
        <w:widowControl/>
      </w:pPr>
      <w:r>
        <w:t>Proyecto Grado 11C 2026</w:t>
      </w:r>
    </w:p>
    <w:p>
      <w:pPr>
        <w:widowControl/>
      </w:pPr>
      <w:r>
        <w:t>Este guion indica qué decir, qué mostrar y cuándo cambiar de voz. Acompaña la web inmersiva y la demostración supervisada del prototipo terminado. Los seis bloques incluyen la demostración dentro de los doce minutos de exposición.</w:t>
      </w:r>
    </w:p>
    <w:p>
      <w:pPr>
        <w:pStyle w:val="Heading1"/>
        <w:widowControl/>
      </w:pPr>
      <w:r>
        <w:t>Plan de la sustentación</w:t>
      </w:r>
    </w:p>
    <w:tbl>
      <w:tblPr>
        <w:tblW w:type="auto" w:w="0"/>
        <w:jc w:val="center"/>
        <w:tblLayout w:type="fixed"/>
        <w:tblLook w:firstColumn="1" w:firstRow="1" w:lastColumn="0" w:lastRow="0" w:noHBand="0" w:noVBand="1" w:val="04A0"/>
      </w:tblPr>
      <w:tblGrid>
        <w:gridCol w:w="1584"/>
        <w:gridCol w:w="2923"/>
        <w:gridCol w:w="5198"/>
      </w:tblGrid>
      <w:tr>
        <w:trPr>
          <w:tblHeade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E8EDF0"/>
          </w:tcPr>
          <w:p>
            <w:pPr>
              <w:spacing w:after="0" w:line="252" w:lineRule="auto"/>
              <w:jc w:val="center"/>
            </w:pPr>
            <w:r>
              <w:rPr>
                <w:b/>
                <w:sz w:val="18"/>
              </w:rPr>
              <w:t>Tiempo</w:t>
            </w:r>
          </w:p>
        </w:tc>
        <w:tc>
          <w:tcPr>
            <w:tcW w:type="dxa" w:w="29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E8EDF0"/>
          </w:tcPr>
          <w:p>
            <w:pPr>
              <w:spacing w:after="0" w:line="252" w:lineRule="auto"/>
            </w:pPr>
            <w:r>
              <w:rPr>
                <w:b/>
                <w:sz w:val="18"/>
              </w:rPr>
              <w:t>Responsable</w:t>
            </w:r>
          </w:p>
        </w:tc>
        <w:tc>
          <w:tcPr>
            <w:tcW w:type="dxa" w:w="519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E8EDF0"/>
          </w:tcPr>
          <w:p>
            <w:pPr>
              <w:spacing w:after="0" w:line="252" w:lineRule="auto"/>
            </w:pPr>
            <w:r>
              <w:rPr>
                <w:b/>
                <w:sz w:val="18"/>
              </w:rPr>
              <w:t>Contenido</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jc w:val="center"/>
            </w:pPr>
            <w:r>
              <w:rPr>
                <w:b w:val="0"/>
                <w:sz w:val="18"/>
              </w:rPr>
              <w:t>00:00 a 02:00</w:t>
            </w:r>
          </w:p>
        </w:tc>
        <w:tc>
          <w:tcPr>
            <w:tcW w:type="dxa" w:w="29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pPr>
            <w:r>
              <w:rPr>
                <w:b w:val="0"/>
                <w:sz w:val="18"/>
              </w:rPr>
              <w:t>Gestor de proyecto</w:t>
            </w:r>
          </w:p>
        </w:tc>
        <w:tc>
          <w:tcPr>
            <w:tcW w:type="dxa" w:w="519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pPr>
            <w:r>
              <w:rPr>
                <w:b w:val="0"/>
                <w:sz w:val="18"/>
              </w:rPr>
              <w:t>Presentación, propósito, objetivos y presupuesto</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jc w:val="center"/>
            </w:pPr>
            <w:r>
              <w:rPr>
                <w:b w:val="0"/>
                <w:sz w:val="18"/>
              </w:rPr>
              <w:t>02:00 a 04:00</w:t>
            </w:r>
          </w:p>
        </w:tc>
        <w:tc>
          <w:tcPr>
            <w:tcW w:type="dxa" w:w="29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pPr>
            <w:r>
              <w:rPr>
                <w:b w:val="0"/>
                <w:sz w:val="18"/>
              </w:rPr>
              <w:t>Ingeniero de IA</w:t>
            </w:r>
          </w:p>
        </w:tc>
        <w:tc>
          <w:tcPr>
            <w:tcW w:type="dxa" w:w="519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pPr>
            <w:r>
              <w:rPr>
                <w:b w:val="0"/>
                <w:sz w:val="18"/>
              </w:rPr>
              <w:t>ChatGPT Codex, consultas y depuración real</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jc w:val="center"/>
            </w:pPr>
            <w:r>
              <w:rPr>
                <w:b w:val="0"/>
                <w:sz w:val="18"/>
              </w:rPr>
              <w:t>04:00 a 06:00</w:t>
            </w:r>
          </w:p>
        </w:tc>
        <w:tc>
          <w:tcPr>
            <w:tcW w:type="dxa" w:w="29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pPr>
            <w:r>
              <w:rPr>
                <w:b w:val="0"/>
                <w:sz w:val="18"/>
              </w:rPr>
              <w:t>Hardware primer aprendiz</w:t>
            </w:r>
          </w:p>
        </w:tc>
        <w:tc>
          <w:tcPr>
            <w:tcW w:type="dxa" w:w="519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pPr>
            <w:r>
              <w:rPr>
                <w:b w:val="0"/>
                <w:sz w:val="18"/>
              </w:rPr>
              <w:t>Articulaciones, sensores, Z y electroimán</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jc w:val="center"/>
            </w:pPr>
            <w:r>
              <w:rPr>
                <w:b w:val="0"/>
                <w:sz w:val="18"/>
              </w:rPr>
              <w:t>06:00 a 08:00</w:t>
            </w:r>
          </w:p>
        </w:tc>
        <w:tc>
          <w:tcPr>
            <w:tcW w:type="dxa" w:w="29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pPr>
            <w:r>
              <w:rPr>
                <w:b w:val="0"/>
                <w:sz w:val="18"/>
              </w:rPr>
              <w:t>Hardware segundo aprendiz</w:t>
            </w:r>
          </w:p>
        </w:tc>
        <w:tc>
          <w:tcPr>
            <w:tcW w:type="dxa" w:w="519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pPr>
            <w:r>
              <w:rPr>
                <w:b w:val="0"/>
                <w:sz w:val="18"/>
              </w:rPr>
              <w:t>Visión, conexiones, calibración y seguridad</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jc w:val="center"/>
            </w:pPr>
            <w:r>
              <w:rPr>
                <w:b w:val="0"/>
                <w:sz w:val="18"/>
              </w:rPr>
              <w:t>08:00 a 10:00</w:t>
            </w:r>
          </w:p>
        </w:tc>
        <w:tc>
          <w:tcPr>
            <w:tcW w:type="dxa" w:w="29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pPr>
            <w:r>
              <w:rPr>
                <w:b w:val="0"/>
                <w:sz w:val="18"/>
              </w:rPr>
              <w:t>Desarrollador</w:t>
            </w:r>
          </w:p>
        </w:tc>
        <w:tc>
          <w:tcPr>
            <w:tcW w:type="dxa" w:w="519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pPr>
            <w:r>
              <w:rPr>
                <w:b w:val="0"/>
                <w:sz w:val="18"/>
              </w:rPr>
              <w:t>Firmware, dos apps y máquina de estados</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jc w:val="center"/>
            </w:pPr>
            <w:r>
              <w:rPr>
                <w:b w:val="0"/>
                <w:sz w:val="18"/>
              </w:rPr>
              <w:t>10:00 a 12:00</w:t>
            </w:r>
          </w:p>
        </w:tc>
        <w:tc>
          <w:tcPr>
            <w:tcW w:type="dxa" w:w="29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pPr>
            <w:r>
              <w:rPr>
                <w:b w:val="0"/>
                <w:sz w:val="18"/>
              </w:rPr>
              <w:t>Maquetador y cierre del gestor</w:t>
            </w:r>
          </w:p>
        </w:tc>
        <w:tc>
          <w:tcPr>
            <w:tcW w:type="dxa" w:w="519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pPr>
            <w:r>
              <w:rPr>
                <w:b w:val="0"/>
                <w:sz w:val="18"/>
              </w:rPr>
              <w:t>Ensamble, demostración, límites y paso al video</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jc w:val="center"/>
            </w:pPr>
            <w:r>
              <w:rPr>
                <w:b w:val="0"/>
                <w:sz w:val="18"/>
              </w:rPr>
              <w:t>12:00 a 15:00</w:t>
            </w:r>
          </w:p>
        </w:tc>
        <w:tc>
          <w:tcPr>
            <w:tcW w:type="dxa" w:w="29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pPr>
            <w:r>
              <w:rPr>
                <w:b w:val="0"/>
                <w:sz w:val="18"/>
              </w:rPr>
              <w:t>Videoclip del proceso</w:t>
            </w:r>
          </w:p>
        </w:tc>
        <w:tc>
          <w:tcPr>
            <w:tcW w:type="dxa" w:w="519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pPr>
            <w:r>
              <w:rPr>
                <w:b w:val="0"/>
                <w:sz w:val="18"/>
              </w:rPr>
              <w:t>Cuatro bloques de 30, 60, 60 y 30 segundos</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jc w:val="center"/>
            </w:pPr>
            <w:r>
              <w:rPr>
                <w:b w:val="0"/>
                <w:sz w:val="18"/>
              </w:rPr>
              <w:t>15:00 a 20:00</w:t>
            </w:r>
          </w:p>
        </w:tc>
        <w:tc>
          <w:tcPr>
            <w:tcW w:type="dxa" w:w="29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pPr>
            <w:r>
              <w:rPr>
                <w:b w:val="0"/>
                <w:sz w:val="18"/>
              </w:rPr>
              <w:t>Todo el equipo</w:t>
            </w:r>
          </w:p>
        </w:tc>
        <w:tc>
          <w:tcPr>
            <w:tcW w:type="dxa" w:w="519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pPr>
            <w:r>
              <w:rPr>
                <w:b w:val="0"/>
                <w:sz w:val="18"/>
              </w:rPr>
              <w:t>Preguntas técnicas del jurado</w:t>
            </w:r>
          </w:p>
        </w:tc>
      </w:tr>
    </w:tbl>
    <w:p>
      <w:pPr>
        <w:pStyle w:val="Heading1"/>
        <w:widowControl/>
      </w:pPr>
      <w:r>
        <w:t>Cómo ensayar con este guion</w:t>
      </w:r>
    </w:p>
    <w:p>
      <w:pPr>
        <w:widowControl/>
      </w:pPr>
      <w:r>
        <w:t>Las indicaciones en cursiva son acciones de apoyo y no se leen en voz alta. El texto bajo cada tema está escrito para decirlo. Ensayen con cronómetro, mantengan las transiciones y repartan las respuestas según la especialidad.</w:t>
      </w:r>
    </w:p>
    <w:p>
      <w:pPr>
        <w:widowControl/>
      </w:pPr>
      <w:r>
        <w:t>El gestor presenta el presupuesto al inicio y vuelve únicamente durante los últimos cinco segundos para dar paso al video. Ese cierre está incluido en el bloque final; no se añade tiempo a los doce minutos.</w:t>
      </w:r>
    </w:p>
    <w:p>
      <w:pPr>
        <w:widowControl/>
      </w:pPr>
      <w:r>
        <w:t>La web permite explicar y explorar el modelo 3D. La demostración se opera desde la app real del robot, con la preparación hecha antes de empezar. La persona que maneja la presentación no envía movimientos desde esta web.</w:t>
      </w:r>
    </w:p>
    <w:p>
      <w:pPr>
        <w:widowControl/>
      </w:pPr>
      <w:r/>
      <w:hyperlink r:id="rId11">
        <w:r>
          <w:rPr>
            <w:color w:val="164C71"/>
            <w:u w:val="single"/>
          </w:rPr>
          <w:t>Abrir la presentación de JaqueBot</w:t>
        </w:r>
      </w:hyperlink>
    </w:p>
    <w:p>
      <w:pPr>
        <w:widowControl/>
      </w:pPr>
      <w:r>
        <w:br w:type="page"/>
      </w:r>
    </w:p>
    <w:p>
      <w:pPr>
        <w:pStyle w:val="Heading1"/>
        <w:widowControl/>
      </w:pPr>
      <w:r>
        <w:t>Gestor de proyecto</w:t>
      </w:r>
    </w:p>
    <w:p>
      <w:pPr>
        <w:pStyle w:val="Subtitle"/>
        <w:widowControl/>
      </w:pPr>
      <w:r>
        <w:t>00:00 a 02:00   |   Bloque de dos minutos</w:t>
      </w:r>
    </w:p>
    <w:p>
      <w:pPr>
        <w:widowControl/>
      </w:pPr>
      <w:r>
        <w:t>Propósito. Presentar JaqueBot, su propósito, el resultado actual y el presupuesto.</w:t>
      </w:r>
    </w:p>
    <w:p>
      <w:pPr>
        <w:widowControl/>
        <w:spacing w:before="140" w:after="140"/>
      </w:pPr>
      <w:r>
        <w:rPr>
          <w:i/>
          <w:color w:val="414141"/>
          <w:sz w:val="19"/>
        </w:rPr>
        <w:t>En pantalla y en el prototipo. Abrir #1. Cambiar a #2, #3 y #15 usando Capítulos o Guion, porque el presupuesto se presenta al inicio. Señalar el prototipo sin operarlo. Terminar el texto a 01:55 y dejar cinco segundos para entregar la palabra; reservar el paso final al video para 11:55.</w:t>
      </w:r>
    </w:p>
    <w:p>
      <w:pPr>
        <w:pStyle w:val="Heading2"/>
        <w:widowControl/>
      </w:pPr>
      <w:r>
        <w:t>Presentación</w:t>
      </w:r>
    </w:p>
    <w:p>
      <w:pPr>
        <w:widowControl/>
        <w:spacing w:after="80"/>
      </w:pPr>
      <w:r/>
      <w:r>
        <w:rPr>
          <w:sz w:val="18"/>
        </w:rPr>
        <w:t xml:space="preserve">00:00 a 00:15   |   </w:t>
      </w:r>
      <w:hyperlink r:id="rId11">
        <w:r>
          <w:rPr>
            <w:color w:val="164C71"/>
            <w:u w:val="single"/>
          </w:rPr>
          <w:t>Capítulo 1  JaqueBot</w:t>
        </w:r>
      </w:hyperlink>
    </w:p>
    <w:p>
      <w:pPr>
        <w:widowControl/>
      </w:pPr>
      <w:r>
        <w:t>Buenos días, jurados, docentes y compañeros. Nosotros somos el equipo de JaqueBot, del grado once C de la Institución Educativa Carlos Julio Torrado Peñaranda. Presentamos nuestro prototipo terminado y nuestro eslogan: Ajedrez que cobra movimiento.</w:t>
      </w:r>
    </w:p>
    <w:p>
      <w:pPr>
        <w:pStyle w:val="Heading2"/>
        <w:widowControl/>
      </w:pPr>
      <w:r>
        <w:t>Problema y propósito</w:t>
      </w:r>
    </w:p>
    <w:p>
      <w:pPr>
        <w:widowControl/>
        <w:spacing w:after="80"/>
      </w:pPr>
      <w:r/>
      <w:r>
        <w:rPr>
          <w:sz w:val="18"/>
        </w:rPr>
        <w:t xml:space="preserve">00:15 a 00:50   |   </w:t>
      </w:r>
      <w:hyperlink r:id="rId12">
        <w:r>
          <w:rPr>
            <w:color w:val="164C71"/>
            <w:u w:val="single"/>
          </w:rPr>
          <w:t>Capítulo 2  Del tablero a la industria.</w:t>
        </w:r>
      </w:hyperlink>
    </w:p>
    <w:p>
      <w:pPr>
        <w:widowControl/>
      </w:pPr>
      <w:r>
        <w:t>Nuestro proyecto parte de una tarea frecuente: recoger un objeto y dejarlo en un destino. La idea es explorar un brazo programable que pueda mover y clasificar objetos para ayudar a optimizar tareas repetitivas. En el colegio convertimos esa idea en un reto de mecánica, electrónica y sistemas. Elegimos el ajedrez para demostrar cómo una decisión digital se convierte en una acción física. El ahorro de tiempo industrial es una proyección que debemos medir en un proceso real. Por eso el ajedrez es una demostración y no el único uso posible del brazo.</w:t>
      </w:r>
    </w:p>
    <w:p>
      <w:pPr>
        <w:pStyle w:val="Heading2"/>
        <w:widowControl/>
      </w:pPr>
      <w:r>
        <w:t>Objetivos y resultado</w:t>
      </w:r>
    </w:p>
    <w:p>
      <w:pPr>
        <w:widowControl/>
        <w:spacing w:after="80"/>
      </w:pPr>
      <w:r/>
      <w:r>
        <w:rPr>
          <w:sz w:val="18"/>
        </w:rPr>
        <w:t xml:space="preserve">00:50 a 01:20   |   </w:t>
      </w:r>
      <w:hyperlink r:id="rId13">
        <w:r>
          <w:rPr>
            <w:color w:val="164C71"/>
            <w:u w:val="single"/>
          </w:rPr>
          <w:t>Capítulo 3  Una decisión. Un movimiento.</w:t>
        </w:r>
      </w:hyperlink>
    </w:p>
    <w:p>
      <w:pPr>
        <w:widowControl/>
      </w:pPr>
      <w:r>
        <w:t>Nos propusimos observar el tablero, calcular una jugada y trasladar una pieza. Integramos un brazo basado en EduSCARA, una cámara, control electrónico y dos aplicaciones. JaqueBot manual permite manejar y comprobar el brazo; JaqueBot Ajedrez integra visión, reglas y respuesta del robot. El prototipo funciona y requiere supervisión. La clasificación de otros objetos necesita adaptar el tamaño y la herramienta.</w:t>
      </w:r>
    </w:p>
    <w:p>
      <w:pPr>
        <w:pStyle w:val="Heading2"/>
        <w:widowControl/>
      </w:pPr>
      <w:r>
        <w:t>Viabilidad y transición</w:t>
      </w:r>
    </w:p>
    <w:p>
      <w:pPr>
        <w:widowControl/>
        <w:spacing w:after="80"/>
      </w:pPr>
      <w:r/>
      <w:r>
        <w:rPr>
          <w:sz w:val="18"/>
        </w:rPr>
        <w:t xml:space="preserve">01:20 a 01:55   |   </w:t>
      </w:r>
      <w:hyperlink r:id="rId14">
        <w:r>
          <w:rPr>
            <w:color w:val="164C71"/>
            <w:u w:val="single"/>
          </w:rPr>
          <w:t>Capítulo 15  Construir con criterio.</w:t>
        </w:r>
      </w:hyperlink>
    </w:p>
    <w:p>
      <w:pPr>
        <w:widowControl/>
      </w:pPr>
      <w:r>
        <w:t>Nuestro presupuesto documenta dos pedidos que suman setecientos once mil cuatrocientos setenta y cuatro pesos con setenta y siete centavos. Informamos aproximadamente un millón de pesos con adicionales. Distinguimos herramientas reutilizables y consumibles; el millón es aproximado. Para cuantificar la optimización financiera debemos identificar los aportes reutilizados y las compras, sin inventar ahorros. Ahora nuestro compañero explicará cómo orientamos la programación y comprobamos las soluciones con ayuda de inteligencia artificial.</w:t>
      </w:r>
    </w:p>
    <w:p>
      <w:pPr>
        <w:widowControl/>
      </w:pPr>
      <w:r>
        <w:br w:type="page"/>
      </w:r>
    </w:p>
    <w:p>
      <w:pPr>
        <w:pStyle w:val="Heading1"/>
        <w:widowControl/>
      </w:pPr>
      <w:r>
        <w:t>Ingeniero de IA</w:t>
      </w:r>
    </w:p>
    <w:p>
      <w:pPr>
        <w:pStyle w:val="Subtitle"/>
        <w:widowControl/>
      </w:pPr>
      <w:r>
        <w:t>02:00 a 04:00   |   Bloque de dos minutos</w:t>
      </w:r>
    </w:p>
    <w:p>
      <w:pPr>
        <w:widowControl/>
      </w:pPr>
      <w:r>
        <w:t>Propósito. Explicar la consulta guiada a ChatGPT Codex y una depuración real.</w:t>
      </w:r>
    </w:p>
    <w:p>
      <w:pPr>
        <w:widowControl/>
        <w:spacing w:before="140" w:after="140"/>
      </w:pPr>
      <w:r>
        <w:rPr>
          <w:i/>
          <w:color w:val="414141"/>
          <w:sz w:val="19"/>
        </w:rPr>
        <w:t>En pantalla y en el prototipo. Abrir #4. Mostrar el esquema de consulta a ChatGPT Codex identificado como reconstrucción gráfica. Explicar contexto, restricciones y comprobación; señalar el caso de depuración real.</w:t>
      </w:r>
    </w:p>
    <w:p>
      <w:pPr>
        <w:pStyle w:val="Heading2"/>
        <w:widowControl/>
      </w:pPr>
      <w:r>
        <w:t>Cómo orientamos las consultas</w:t>
      </w:r>
    </w:p>
    <w:p>
      <w:pPr>
        <w:widowControl/>
        <w:spacing w:after="80"/>
      </w:pPr>
      <w:r/>
      <w:r>
        <w:rPr>
          <w:sz w:val="18"/>
        </w:rPr>
        <w:t xml:space="preserve">02:00 a 03:00   |   </w:t>
      </w:r>
      <w:hyperlink r:id="rId15">
        <w:r>
          <w:rPr>
            <w:color w:val="164C71"/>
            <w:u w:val="single"/>
          </w:rPr>
          <w:t>Capítulo 4  La IA acompaña. Nosotros comprobamos.</w:t>
        </w:r>
      </w:hyperlink>
    </w:p>
    <w:p>
      <w:pPr>
        <w:widowControl/>
      </w:pPr>
      <w:r>
        <w:t>Nosotros usamos ChatGPT Codex como apoyo para implementar y revisar las aplicaciones. Para obtener una solución útil, explicamos el contexto: el brazo EduSCARA, la NUCLEO F446RE, la Raspberry Pi y el protocolo disponible. Después precisamos las restricciones: respetar límites articulares, conservar las órdenes existentes, permitir una sola aplicación dueña del USB y no repetir automáticamente un traslado que falle. También describimos las herramientas del proyecto: Python, OpenCV para ArUco y Stockfish como motor de ajedrez. Una consulta se puede resumir así: revisa esta secuencia con este hardware, conserva el protocolo y comprueba la llegada antes de continuar. Ese esquema nos ayuda a explicar cómo se guía una solución. Nosotros debemos revisar el código, probarlo y contrastar el comportamiento con los registros. Las respuestas útiles se convierten en cambios revisables, que podemos explicar frente al jurado.</w:t>
      </w:r>
    </w:p>
    <w:p>
      <w:pPr>
        <w:pStyle w:val="Heading2"/>
        <w:widowControl/>
      </w:pPr>
      <w:r>
        <w:t>Caso real de depuración</w:t>
      </w:r>
    </w:p>
    <w:p>
      <w:pPr>
        <w:widowControl/>
        <w:spacing w:after="80"/>
      </w:pPr>
      <w:r/>
      <w:r>
        <w:rPr>
          <w:sz w:val="18"/>
        </w:rPr>
        <w:t xml:space="preserve">03:00 a 04:00   |   </w:t>
      </w:r>
      <w:hyperlink r:id="rId15">
        <w:r>
          <w:rPr>
            <w:color w:val="164C71"/>
            <w:u w:val="single"/>
          </w:rPr>
          <w:t>Capítulo 4  La IA acompaña. Nosotros comprobamos.</w:t>
        </w:r>
      </w:hyperlink>
    </w:p>
    <w:p>
      <w:pPr>
        <w:widowControl/>
      </w:pPr>
      <w:r>
        <w:t>Un problema real apareció durante una captura Bxa3: las lecturas de posición de la base no coincidían dentro de la misma operación. No podíamos concluir si había oscilación física o ruido de lectura. Aprendimos que recibir un ACK, la confirmación del controlador, no demuestra que el brazo llegó. Reforzamos la comprobación del software para exigir tres lecturas ADC consecutivas dentro de la tolerancia. Si no se confirma la llegada, se bloquea la sesión y no se vuelve a enviar el traslado. Además revisamos la coordinación del estacionamiento usando el mismo trabajador de control manual. Las pruebas de software ayudan a verificar esa lógica; la respuesta mecánica se observa en el prototipo. Nuestro compañero mostrará ahora los elementos que producen y permiten comprobar el movimiento.</w:t>
      </w:r>
    </w:p>
    <w:p>
      <w:pPr>
        <w:widowControl/>
      </w:pPr>
      <w:r>
        <w:br w:type="page"/>
      </w:r>
    </w:p>
    <w:p>
      <w:pPr>
        <w:pStyle w:val="Heading1"/>
        <w:widowControl/>
      </w:pPr>
      <w:r>
        <w:t>Hardware primer aprendiz</w:t>
      </w:r>
    </w:p>
    <w:p>
      <w:pPr>
        <w:pStyle w:val="Subtitle"/>
        <w:widowControl/>
      </w:pPr>
      <w:r>
        <w:t>04:00 a 06:00   |   Bloque de dos minutos</w:t>
      </w:r>
    </w:p>
    <w:p>
      <w:pPr>
        <w:widowControl/>
      </w:pPr>
      <w:r>
        <w:t>Propósito. Identificar estructura, actuadores, sensores, eje vertical y herramienta.</w:t>
      </w:r>
    </w:p>
    <w:p>
      <w:pPr>
        <w:widowControl/>
        <w:spacing w:before="140" w:after="140"/>
      </w:pPr>
      <w:r>
        <w:rPr>
          <w:i/>
          <w:color w:val="414141"/>
          <w:sz w:val="19"/>
        </w:rPr>
        <w:t>En pantalla y en el prototipo. Abrir #5 y después #6. Señalar en el 3D y en el prototipo base, codo, eslabones, potenciómetros, carro Z y electroimán. No mover articulaciones a mano durante una operación.</w:t>
      </w:r>
    </w:p>
    <w:p>
      <w:pPr>
        <w:pStyle w:val="Heading2"/>
        <w:widowControl/>
      </w:pPr>
      <w:r>
        <w:t>Articulaciones y lectura de posición</w:t>
      </w:r>
    </w:p>
    <w:p>
      <w:pPr>
        <w:widowControl/>
        <w:spacing w:after="80"/>
      </w:pPr>
      <w:r/>
      <w:r>
        <w:rPr>
          <w:sz w:val="18"/>
        </w:rPr>
        <w:t xml:space="preserve">04:00 a 04:55   |   </w:t>
      </w:r>
      <w:hyperlink r:id="rId16">
        <w:r>
          <w:rPr>
            <w:color w:val="164C71"/>
            <w:u w:val="single"/>
          </w:rPr>
          <w:t>Capítulo 5  Dos eslabones. Un espacio de trabajo.</w:t>
        </w:r>
      </w:hyperlink>
    </w:p>
    <w:p>
      <w:pPr>
        <w:widowControl/>
      </w:pPr>
      <w:r>
        <w:t>Nosotros partimos de la plataforma EduSCARA. Aquí distinguimos la base, el primer eslabón, el codo y el segundo eslabón. Sus longitudes nominales son ciento veinticinco y cien milímetros. Los servomotores producen el giro y los potenciómetros aportan una señal que permite calcular los ángulos de base y codo. Con esos ángulos y las longitudes obtenemos la posición X e Y. El alcance geométrico máximo es de doscientos veinticinco milímetros, aunque los límites articulares y los obstáculos reducen los recorridos utilizables. Las fijaciones mantienen el conjunto; una holgura puede afectar la posición. Por eso nos interesa comprobar el destino y mantener libre el recorrido del brazo, los cables y la herramienta. La estructura y sus soportes conservan alineados los elementos que deben trabajar juntos.</w:t>
      </w:r>
    </w:p>
    <w:p>
      <w:pPr>
        <w:pStyle w:val="Heading2"/>
        <w:widowControl/>
      </w:pPr>
      <w:r>
        <w:t>Elevación y electroimán</w:t>
      </w:r>
    </w:p>
    <w:p>
      <w:pPr>
        <w:widowControl/>
        <w:spacing w:after="80"/>
      </w:pPr>
      <w:r/>
      <w:r>
        <w:rPr>
          <w:sz w:val="18"/>
        </w:rPr>
        <w:t xml:space="preserve">04:55 a 06:00   |   </w:t>
      </w:r>
      <w:hyperlink r:id="rId17">
        <w:r>
          <w:rPr>
            <w:color w:val="164C71"/>
            <w:u w:val="single"/>
          </w:rPr>
          <w:t>Capítulo 6  Acercar. Sujetar. Trasladar. Soltar.</w:t>
        </w:r>
      </w:hyperlink>
    </w:p>
    <w:p>
      <w:pPr>
        <w:widowControl/>
      </w:pPr>
      <w:r>
        <w:t>El eje Z permite subir y bajar la herramienta. En el ajedrez, el brazo llega a la pieza, baja a la altura guardada y activa el electroimán. Después eleva la pieza y la transporta. En el destino baja, apaga el imán y retira la herramienta. La bobina utiliza doce voltios y un módulo MOSFET; no recibe su corriente directamente de la señal del microcontrolador. El indicador de la aplicación muestra la señal electrónica, no la fuerza de agarre ni cuántas piezas quedaron sujetas. Tampoco tenemos un sensor que mida la altura real de Z: la referencia se comprueba visualmente. Esa diferencia explica por qué observamos la toma y la liberación. Ahora veremos cómo se relacionan estos elementos con la cámara y las conexiones del sistema.</w:t>
      </w:r>
    </w:p>
    <w:p>
      <w:pPr>
        <w:widowControl/>
      </w:pPr>
      <w:r>
        <w:br w:type="page"/>
      </w:r>
    </w:p>
    <w:p>
      <w:pPr>
        <w:pStyle w:val="Heading1"/>
        <w:widowControl/>
      </w:pPr>
      <w:r>
        <w:t>Hardware segundo aprendiz</w:t>
      </w:r>
    </w:p>
    <w:p>
      <w:pPr>
        <w:pStyle w:val="Subtitle"/>
        <w:widowControl/>
      </w:pPr>
      <w:r>
        <w:t>06:00 a 08:00   |   Bloque de dos minutos</w:t>
      </w:r>
    </w:p>
    <w:p>
      <w:pPr>
        <w:widowControl/>
      </w:pPr>
      <w:r>
        <w:t>Propósito. Explicar visión, calibraciones, comunicación, alimentación y seguridad.</w:t>
      </w:r>
    </w:p>
    <w:p>
      <w:pPr>
        <w:widowControl/>
        <w:spacing w:before="140" w:after="140"/>
      </w:pPr>
      <w:r>
        <w:rPr>
          <w:i/>
          <w:color w:val="414141"/>
          <w:sz w:val="19"/>
        </w:rPr>
        <w:t>En pantalla y en el prototipo. Abrir #7 y #8. Enfocar la cámara Sony IMX500 y después Raspberry Pi, NUCLEO y conexiones. Mostrar el esquema del montaje actual; no usar el de una PCB futura como si estuviera instalada.</w:t>
      </w:r>
    </w:p>
    <w:p>
      <w:pPr>
        <w:pStyle w:val="Heading2"/>
        <w:widowControl/>
      </w:pPr>
      <w:r>
        <w:t>Visión y referencias</w:t>
      </w:r>
    </w:p>
    <w:p>
      <w:pPr>
        <w:widowControl/>
        <w:spacing w:after="80"/>
      </w:pPr>
      <w:r/>
      <w:r>
        <w:rPr>
          <w:sz w:val="18"/>
        </w:rPr>
        <w:t xml:space="preserve">06:00 a 06:55   |   </w:t>
      </w:r>
      <w:hyperlink r:id="rId18">
        <w:r>
          <w:rPr>
            <w:color w:val="164C71"/>
            <w:u w:val="single"/>
          </w:rPr>
          <w:t>Capítulo 7  Cada pieza tiene una identidad.</w:t>
        </w:r>
      </w:hyperlink>
    </w:p>
    <w:p>
      <w:pPr>
        <w:widowControl/>
      </w:pPr>
      <w:r>
        <w:t>Nosotros usamos una Raspberry Pi AI Camera con sensor Sony IMX500 para capturar el tablero. OpenCV reconoce los marcadores ArUco en la Raspberry. Cada identidad se asocia a una pieza y cuatro referencias sitúan la cuadrícula en la imagen. No depende de una IA en la nube que adivine las piezas. Calibramos por separado cámara, tablero y posiciones del brazo. También importa la altura de las etiquetas. Una imagen anterior no confirma una jugada nueva; la aplicación necesita observaciones estables. La Raspberry ejecuta las aplicaciones y coordina el sistema. La NUCLEO se encarga de las señales físicas de los servos, las lecturas de los potenciómetros y el control del electroimán. Si cambiamos la cámara o movemos el tablero, revisamos de nuevo esas referencias.</w:t>
      </w:r>
    </w:p>
    <w:p>
      <w:pPr>
        <w:pStyle w:val="Heading2"/>
        <w:widowControl/>
      </w:pPr>
      <w:r>
        <w:t>Señales y seguridad</w:t>
      </w:r>
    </w:p>
    <w:p>
      <w:pPr>
        <w:widowControl/>
        <w:spacing w:after="80"/>
      </w:pPr>
      <w:r/>
      <w:r>
        <w:rPr>
          <w:sz w:val="18"/>
        </w:rPr>
        <w:t xml:space="preserve">06:55 a 08:00   |   </w:t>
      </w:r>
      <w:hyperlink r:id="rId19">
        <w:r>
          <w:rPr>
            <w:color w:val="164C71"/>
            <w:u w:val="single"/>
          </w:rPr>
          <w:t>Capítulo 8  Cada señal tiene una función.</w:t>
        </w:r>
      </w:hyperlink>
    </w:p>
    <w:p>
      <w:pPr>
        <w:widowControl/>
      </w:pPr>
      <w:r>
        <w:t>El enlace entre aplicación y NUCLEO es USB serial a ciento quince mil doscientos baudios. Las órdenes tienen cuarenta y ocho bytes y una confirmación de cuatro bytes. Los servos reciben señales de control y los potenciómetros entran por ADC, que convierte una señal analógica en datos. La señal PB5 gobierna el MOSFET del electroimán. En el montaje actual pasa por el borne B8; allí no se conectan doce voltios. Los servos utilizan cinco voltios y la bobina doce, con las tierras conectadas según el esquema. Antes de operar revisamos polaridad, cables, recorrido y referencia de Z. El corte de alimentación de servos queda accesible: bloquear la pantalla evita nuevas órdenes, pero no equivale a detener físicamente un movimiento en curso. Nuestro desarrollador explicará cómo organizamos ese control en las dos aplicaciones.</w:t>
      </w:r>
    </w:p>
    <w:p>
      <w:pPr>
        <w:widowControl/>
      </w:pPr>
      <w:r>
        <w:br w:type="page"/>
      </w:r>
    </w:p>
    <w:p>
      <w:pPr>
        <w:pStyle w:val="Heading1"/>
        <w:widowControl/>
      </w:pPr>
      <w:r>
        <w:t>Desarrollador</w:t>
      </w:r>
    </w:p>
    <w:p>
      <w:pPr>
        <w:pStyle w:val="Subtitle"/>
        <w:widowControl/>
      </w:pPr>
      <w:r>
        <w:t>08:00 a 10:00   |   Bloque de dos minutos</w:t>
      </w:r>
    </w:p>
    <w:p>
      <w:pPr>
        <w:widowControl/>
      </w:pPr>
      <w:r>
        <w:t>Propósito. Explicar firmware, interfaces, lógica de juego y comprobación de movimientos.</w:t>
      </w:r>
    </w:p>
    <w:p>
      <w:pPr>
        <w:widowControl/>
        <w:spacing w:before="140" w:after="140"/>
      </w:pPr>
      <w:r>
        <w:rPr>
          <w:i/>
          <w:color w:val="414141"/>
          <w:sz w:val="19"/>
        </w:rPr>
        <w:t>En pantalla y en el prototipo. Abrir #9 y #10. Ampliar las capturas de ambas apps y señalar sus controles. Mostrar las interfaces reales en la Raspberry si está preparada. Navegar por esta web solo explica el proyecto; no envía órdenes al robot.</w:t>
      </w:r>
    </w:p>
    <w:p>
      <w:pPr>
        <w:pStyle w:val="Heading2"/>
        <w:widowControl/>
      </w:pPr>
      <w:r>
        <w:t>Control manual y software embebido</w:t>
      </w:r>
    </w:p>
    <w:p>
      <w:pPr>
        <w:widowControl/>
        <w:spacing w:after="80"/>
      </w:pPr>
      <w:r/>
      <w:r>
        <w:rPr>
          <w:sz w:val="18"/>
        </w:rPr>
        <w:t xml:space="preserve">08:00 a 09:00   |   </w:t>
      </w:r>
      <w:hyperlink r:id="rId20">
        <w:r>
          <w:rPr>
            <w:color w:val="164C71"/>
            <w:u w:val="single"/>
          </w:rPr>
          <w:t>Capítulo 9  App 01. Control en tus manos.</w:t>
        </w:r>
      </w:hyperlink>
    </w:p>
    <w:p>
      <w:pPr>
        <w:widowControl/>
      </w:pPr>
      <w:r>
        <w:t>Nosotros tenemos dos aplicaciones. JaqueBot manual permite conectar la NUCLEO, preparar los motores y elegir movimientos de base, codo y Z. Podemos introducir ángulos o preparar un destino X e Y. Arrastrar la punta solo previsualiza; la orden se envía al pulsar Mover. También activamos o desactivamos el electroimán. El servidor valida parámetros y límites, y un trabajador administra el puerto serial. El firmware está desarrollado en C para STM32: inicializa comunicaciones, temporizadores y lecturas; sus variables guardan órdenes, destinos y estados. Sus condiciones deciden qué comando ejecutar. Conservamos el protocolo original de EduSCARA. Como ambas apps comparten hardware, una sola puede tener abierto el USB. Desconectamos una antes de conectarlo desde la otra para evitar órdenes en conflicto. La interfaz presenta el estado y el servidor decide si la acción está permitida.</w:t>
      </w:r>
    </w:p>
    <w:p>
      <w:pPr>
        <w:pStyle w:val="Heading2"/>
        <w:widowControl/>
      </w:pPr>
      <w:r>
        <w:t>Ajedrez y máquina de estados</w:t>
      </w:r>
    </w:p>
    <w:p>
      <w:pPr>
        <w:widowControl/>
        <w:spacing w:after="80"/>
      </w:pPr>
      <w:r/>
      <w:r>
        <w:rPr>
          <w:sz w:val="18"/>
        </w:rPr>
        <w:t xml:space="preserve">09:00 a 10:00   |   </w:t>
      </w:r>
      <w:hyperlink r:id="rId21">
        <w:r>
          <w:rPr>
            <w:color w:val="164C71"/>
            <w:u w:val="single"/>
          </w:rPr>
          <w:t>Capítulo 10  App 02. El tablero responde.</w:t>
        </w:r>
      </w:hyperlink>
    </w:p>
    <w:p>
      <w:pPr>
        <w:widowControl/>
      </w:pPr>
      <w:r>
        <w:t>JaqueBot Ajedrez añade la cámara y el juego. OpenCV identifica ArUco, python-chess valida las reglas y Stockfish calcula una respuesta legal mediante UCI. Nuestra aplicación une esas funciones con el brazo. La máquina de estados separa turno humano, validación, cálculo, movimiento y verificación. Tras aceptar la jugada humana, planifica los traslados y coordina Z y electroimán. Una captura retira primero la pieza rival; la promoción requiere intervención manual. Al terminar se estaciona el brazo y una nueva imagen comprueba la posición. En la depuración del estacionamiento revisamos que el codo partiera de la posición leída y que la base siguiera en su referencia. El envío de una orden no se confunde con llegada. Ahora nuestro compañero presenta el montaje y guía la demostración física.</w:t>
      </w:r>
    </w:p>
    <w:p>
      <w:pPr>
        <w:widowControl/>
      </w:pPr>
      <w:r>
        <w:br w:type="page"/>
      </w:r>
    </w:p>
    <w:p>
      <w:pPr>
        <w:pStyle w:val="Heading1"/>
        <w:widowControl/>
      </w:pPr>
      <w:r>
        <w:t>Maquetador</w:t>
      </w:r>
    </w:p>
    <w:p>
      <w:pPr>
        <w:pStyle w:val="Subtitle"/>
        <w:widowControl/>
      </w:pPr>
      <w:r>
        <w:t>10:00 a 12:00   |   Bloque de dos minutos</w:t>
      </w:r>
    </w:p>
    <w:p>
      <w:pPr>
        <w:widowControl/>
      </w:pPr>
      <w:r>
        <w:t>Propósito. Mostrar fabricación, demostrar el ciclo, explicar límites y entregar el cierre al gestor.</w:t>
      </w:r>
    </w:p>
    <w:p>
      <w:pPr>
        <w:widowControl/>
        <w:spacing w:before="140" w:after="140"/>
      </w:pPr>
      <w:r>
        <w:rPr>
          <w:i/>
          <w:color w:val="414141"/>
          <w:sz w:val="19"/>
        </w:rPr>
        <w:t>En pantalla y en el prototipo. Orden recomendado #12, #11, #13, #14 y #16. El equipo debe haber preparado y ensayado una transferencia breve antes de la exposición. Una persona opera la app real y otra supervisa piezas y recorrido. Narrar mientras se observa el ciclo; no improvisar una partida larga.</w:t>
      </w:r>
    </w:p>
    <w:p>
      <w:pPr>
        <w:pStyle w:val="Heading2"/>
        <w:widowControl/>
      </w:pPr>
      <w:r>
        <w:t>Diseño y ensamble</w:t>
      </w:r>
    </w:p>
    <w:p>
      <w:pPr>
        <w:widowControl/>
        <w:spacing w:after="80"/>
      </w:pPr>
      <w:r/>
      <w:r>
        <w:rPr>
          <w:sz w:val="18"/>
        </w:rPr>
        <w:t xml:space="preserve">10:00 a 10:25   |   </w:t>
      </w:r>
      <w:hyperlink r:id="rId22">
        <w:r>
          <w:rPr>
            <w:color w:val="164C71"/>
            <w:u w:val="single"/>
          </w:rPr>
          <w:t>Capítulo 12  Diseñar. Ensamblar. Poner a funcionar.</w:t>
        </w:r>
      </w:hyperlink>
    </w:p>
    <w:p>
      <w:pPr>
        <w:widowControl/>
      </w:pPr>
      <w:r>
        <w:t>Nosotros adaptamos EduSCARA en Autodesk Fusion y trabajamos el conjunto de tablero, piezas, etiquetas y soportes. La fabricación y el ensamble unieron estructura, fijaciones, cableado y herramienta. El modelo 3D explica la geometría; el montaje físico muestra cómo se integraron sus componentes. Reconocemos la plataforma original de los autores de EduSCARA.</w:t>
      </w:r>
    </w:p>
    <w:p>
      <w:pPr>
        <w:pStyle w:val="Heading2"/>
        <w:widowControl/>
      </w:pPr>
      <w:r>
        <w:t>Demostración supervisada</w:t>
      </w:r>
    </w:p>
    <w:p>
      <w:pPr>
        <w:widowControl/>
        <w:spacing w:after="80"/>
      </w:pPr>
      <w:r/>
      <w:r>
        <w:rPr>
          <w:sz w:val="18"/>
        </w:rPr>
        <w:t xml:space="preserve">10:25 a 11:20   |   </w:t>
      </w:r>
      <w:hyperlink r:id="rId23">
        <w:r>
          <w:rPr>
            <w:color w:val="164C71"/>
            <w:u w:val="single"/>
          </w:rPr>
          <w:t>Capítulo 11  Del cálculo a la pieza real.</w:t>
        </w:r>
      </w:hyperlink>
    </w:p>
    <w:p>
      <w:pPr>
        <w:widowControl/>
      </w:pPr>
      <w:r>
        <w:t>Ahora observamos el prototipo preparado. La aplicación calcula la respuesta con Stockfish. Seguimos la pieza: el brazo llega, baja Z, activa el electroimán, eleva y traslada. En el destino baja y libera. Nosotros comprobamos que sea una sola pieza y que quede en su casilla. Después la cámara verifica el resultado. Este recorrido web explica el sistema; la acción la realiza el robot desde su aplicación.</w:t>
      </w:r>
    </w:p>
    <w:p>
      <w:pPr>
        <w:pStyle w:val="Heading2"/>
        <w:widowControl/>
      </w:pPr>
      <w:r>
        <w:t>Limitación real</w:t>
      </w:r>
    </w:p>
    <w:p>
      <w:pPr>
        <w:widowControl/>
        <w:spacing w:after="80"/>
      </w:pPr>
      <w:r/>
      <w:r>
        <w:rPr>
          <w:sz w:val="18"/>
        </w:rPr>
        <w:t xml:space="preserve">11:20 a 11:40   |   </w:t>
      </w:r>
      <w:hyperlink r:id="rId24">
        <w:r>
          <w:rPr>
            <w:color w:val="164C71"/>
            <w:u w:val="single"/>
          </w:rPr>
          <w:t>Capítulo 13  La precisión también se aprende.</w:t>
        </w:r>
      </w:hyperlink>
    </w:p>
    <w:p>
      <w:pPr>
        <w:widowControl/>
      </w:pPr>
      <w:r>
        <w:t>Nuestro tablero es pequeño y las piezas quedan próximas. A veces el electroimán puede levantar más de una. Por eso supervisamos la toma y corregimos el tablero cuando ocurre. La señal electrónica no detecta cuántas piezas se sujetaron.</w:t>
      </w:r>
    </w:p>
    <w:p>
      <w:pPr>
        <w:pStyle w:val="Heading2"/>
        <w:widowControl/>
      </w:pPr>
      <w:r>
        <w:t>Adaptación industrial</w:t>
      </w:r>
    </w:p>
    <w:p>
      <w:pPr>
        <w:widowControl/>
        <w:spacing w:after="80"/>
      </w:pPr>
      <w:r/>
      <w:r>
        <w:rPr>
          <w:sz w:val="18"/>
        </w:rPr>
        <w:t xml:space="preserve">11:40 a 11:50   |   </w:t>
      </w:r>
      <w:hyperlink r:id="rId25">
        <w:r>
          <w:rPr>
            <w:color w:val="164C71"/>
            <w:u w:val="single"/>
          </w:rPr>
          <w:t>Capítulo 14  Otra tarea. Otra escala.</w:t>
        </w:r>
      </w:hyperlink>
    </w:p>
    <w:p>
      <w:pPr>
        <w:widowControl/>
      </w:pPr>
      <w:r>
        <w:t>Para producción adaptaríamos tamaño, alcance y herramienta. Mediríamos tiempo y fiabilidad con objetos reales antes de afirmar una mejora industrial.</w:t>
      </w:r>
    </w:p>
    <w:p>
      <w:pPr>
        <w:pStyle w:val="Heading2"/>
        <w:widowControl/>
      </w:pPr>
      <w:r>
        <w:t>Entrega y paso al video</w:t>
      </w:r>
    </w:p>
    <w:p>
      <w:pPr>
        <w:widowControl/>
        <w:spacing w:after="80"/>
      </w:pPr>
      <w:r/>
      <w:r>
        <w:rPr>
          <w:sz w:val="18"/>
        </w:rPr>
        <w:t xml:space="preserve">11:50 a 11:55   |   </w:t>
      </w:r>
      <w:hyperlink r:id="rId26">
        <w:r>
          <w:rPr>
            <w:color w:val="164C71"/>
            <w:u w:val="single"/>
          </w:rPr>
          <w:t>Capítulo 16  JaqueBot</w:t>
        </w:r>
      </w:hyperlink>
    </w:p>
    <w:p>
      <w:pPr>
        <w:widowControl/>
      </w:pPr>
      <w:r>
        <w:t>Concluimos la demostración. Nuestro gestor presenta el video del proceso.</w:t>
      </w:r>
    </w:p>
    <w:p>
      <w:pPr>
        <w:pStyle w:val="Heading2"/>
        <w:widowControl/>
      </w:pPr>
      <w:r>
        <w:t>Paso al video por el gestor</w:t>
      </w:r>
    </w:p>
    <w:p>
      <w:pPr>
        <w:widowControl/>
      </w:pPr>
      <w:r>
        <w:t>11:55 a 12:00   |   Gestor de proyecto</w:t>
      </w:r>
    </w:p>
    <w:p>
      <w:pPr>
        <w:widowControl/>
      </w:pPr>
      <w:r>
        <w:t>JaqueBot, Ajedrez que cobra movimiento. Ahora presentamos el video de nuestro proceso.</w:t>
      </w:r>
    </w:p>
    <w:p>
      <w:pPr>
        <w:widowControl/>
        <w:spacing w:before="140" w:after="140"/>
      </w:pPr>
      <w:r>
        <w:rPr>
          <w:i/>
          <w:color w:val="414141"/>
          <w:sz w:val="19"/>
        </w:rPr>
        <w:t>Durante la demostración, el equipo observa el agarre y la liberación. Si hay una toma múltiple o una lectura sin confirmar, se interrumpe la operación y se revisa; no se repite un traslado automáticamente. Si se requiere explicarlo: Estamos verificando la posición antes de continuar. Corregimos la toma y volvemos a validar el tablero.</w:t>
      </w:r>
    </w:p>
    <w:p>
      <w:pPr>
        <w:widowControl/>
      </w:pPr>
      <w:r>
        <w:br w:type="page"/>
      </w:r>
    </w:p>
    <w:p>
      <w:pPr>
        <w:pStyle w:val="Heading1"/>
        <w:widowControl/>
      </w:pPr>
      <w:r>
        <w:t>Videoclip de cierre</w:t>
      </w:r>
    </w:p>
    <w:p>
      <w:pPr>
        <w:pStyle w:val="Subtitle"/>
        <w:widowControl/>
      </w:pPr>
      <w:r>
        <w:t>12:00 a 15:00   |   Duración total de tres minutos</w:t>
      </w:r>
    </w:p>
    <w:tbl>
      <w:tblPr>
        <w:tblW w:type="auto" w:w="0"/>
        <w:jc w:val="center"/>
        <w:tblLayout w:type="fixed"/>
        <w:tblLook w:firstColumn="1" w:firstRow="1" w:lastColumn="0" w:lastRow="0" w:noHBand="0" w:noVBand="1" w:val="04A0"/>
      </w:tblPr>
      <w:tblGrid>
        <w:gridCol w:w="1512"/>
        <w:gridCol w:w="2390"/>
        <w:gridCol w:w="5803"/>
      </w:tblGrid>
      <w:tr>
        <w:trPr>
          <w:tblHeader/>
          <w:cantSplit/>
        </w:trP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E8EDF0"/>
          </w:tcPr>
          <w:p>
            <w:pPr>
              <w:spacing w:after="0" w:line="252" w:lineRule="auto"/>
              <w:jc w:val="center"/>
            </w:pPr>
            <w:r>
              <w:rPr>
                <w:b/>
                <w:sz w:val="18"/>
              </w:rPr>
              <w:t>Tramo</w:t>
            </w:r>
          </w:p>
        </w:tc>
        <w:tc>
          <w:tcPr>
            <w:tcW w:type="dxa" w:w="23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E8EDF0"/>
          </w:tcPr>
          <w:p>
            <w:pPr>
              <w:spacing w:after="0" w:line="252" w:lineRule="auto"/>
            </w:pPr>
            <w:r>
              <w:rPr>
                <w:b/>
                <w:sz w:val="18"/>
              </w:rPr>
              <w:t>Enfoque</w:t>
            </w:r>
          </w:p>
        </w:tc>
        <w:tc>
          <w:tcPr>
            <w:tcW w:type="dxa" w:w="58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E8EDF0"/>
          </w:tcPr>
          <w:p>
            <w:pPr>
              <w:spacing w:after="0" w:line="252" w:lineRule="auto"/>
            </w:pPr>
            <w:r>
              <w:rPr>
                <w:b/>
                <w:sz w:val="18"/>
              </w:rPr>
              <w:t>Recursos en pantalla</w:t>
            </w:r>
          </w:p>
        </w:tc>
      </w:tr>
      <w:tr>
        <w:trPr>
          <w:cantSplit/>
        </w:trP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jc w:val="center"/>
            </w:pPr>
            <w:r>
              <w:rPr>
                <w:b w:val="0"/>
                <w:sz w:val="18"/>
              </w:rPr>
              <w:t>00:00 a 00:30</w:t>
            </w:r>
          </w:p>
        </w:tc>
        <w:tc>
          <w:tcPr>
            <w:tcW w:type="dxa" w:w="23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pPr>
            <w:r>
              <w:rPr>
                <w:b w:val="0"/>
                <w:sz w:val="18"/>
              </w:rPr>
              <w:t>El reto</w:t>
            </w:r>
          </w:p>
        </w:tc>
        <w:tc>
          <w:tcPr>
            <w:tcW w:type="dxa" w:w="58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pPr>
            <w:r>
              <w:rPr>
                <w:b w:val="0"/>
                <w:sz w:val="18"/>
              </w:rPr>
              <w:t>Idea del proyecto y esquema de consulta a ChatGPT Codex</w:t>
            </w:r>
          </w:p>
        </w:tc>
      </w:tr>
      <w:tr>
        <w:trPr>
          <w:cantSplit/>
        </w:trP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jc w:val="center"/>
            </w:pPr>
            <w:r>
              <w:rPr>
                <w:b w:val="0"/>
                <w:sz w:val="18"/>
              </w:rPr>
              <w:t>00:30 a 01:30</w:t>
            </w:r>
          </w:p>
        </w:tc>
        <w:tc>
          <w:tcPr>
            <w:tcW w:type="dxa" w:w="23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pPr>
            <w:r>
              <w:rPr>
                <w:b w:val="0"/>
                <w:sz w:val="18"/>
              </w:rPr>
              <w:t>Desarrollo y ajustes</w:t>
            </w:r>
          </w:p>
        </w:tc>
        <w:tc>
          <w:tcPr>
            <w:tcW w:type="dxa" w:w="58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pPr>
            <w:r>
              <w:rPr>
                <w:b w:val="0"/>
                <w:sz w:val="18"/>
              </w:rPr>
              <w:t>Pruebas de movimiento, interfaces y explicación de la depuración</w:t>
            </w:r>
          </w:p>
        </w:tc>
      </w:tr>
      <w:tr>
        <w:trPr>
          <w:cantSplit/>
        </w:trP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jc w:val="center"/>
            </w:pPr>
            <w:r>
              <w:rPr>
                <w:b w:val="0"/>
                <w:sz w:val="18"/>
              </w:rPr>
              <w:t>01:30 a 02:30</w:t>
            </w:r>
          </w:p>
        </w:tc>
        <w:tc>
          <w:tcPr>
            <w:tcW w:type="dxa" w:w="23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pPr>
            <w:r>
              <w:rPr>
                <w:b w:val="0"/>
                <w:sz w:val="18"/>
              </w:rPr>
              <w:t>La construcción</w:t>
            </w:r>
          </w:p>
        </w:tc>
        <w:tc>
          <w:tcPr>
            <w:tcW w:type="dxa" w:w="58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pPr>
            <w:r>
              <w:rPr>
                <w:b w:val="0"/>
                <w:sz w:val="18"/>
              </w:rPr>
              <w:t>Diseño, piezas, herramientas, ensamble y conexiones del equipo</w:t>
            </w:r>
          </w:p>
        </w:tc>
      </w:tr>
      <w:tr>
        <w:trPr>
          <w:cantSplit/>
        </w:trP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jc w:val="center"/>
            </w:pPr>
            <w:r>
              <w:rPr>
                <w:b w:val="0"/>
                <w:sz w:val="18"/>
              </w:rPr>
              <w:t>02:30 a 03:00</w:t>
            </w:r>
          </w:p>
        </w:tc>
        <w:tc>
          <w:tcPr>
            <w:tcW w:type="dxa" w:w="23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pPr>
            <w:r>
              <w:rPr>
                <w:b w:val="0"/>
                <w:sz w:val="18"/>
              </w:rPr>
              <w:t>El resultado</w:t>
            </w:r>
          </w:p>
        </w:tc>
        <w:tc>
          <w:tcPr>
            <w:tcW w:type="dxa" w:w="58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tcPr>
          <w:p>
            <w:pPr>
              <w:spacing w:after="0" w:line="252" w:lineRule="auto"/>
            </w:pPr>
            <w:r>
              <w:rPr>
                <w:b w:val="0"/>
                <w:sz w:val="18"/>
              </w:rPr>
              <w:t>Prototipo, pruebas disponibles, equipo y cierre de JaqueBot</w:t>
            </w:r>
          </w:p>
        </w:tc>
      </w:tr>
    </w:tbl>
    <w:p>
      <w:pPr>
        <w:widowControl/>
        <w:spacing w:before="140" w:after="140"/>
      </w:pPr>
      <w:r>
        <w:rPr>
          <w:i/>
          <w:color w:val="414141"/>
          <w:sz w:val="19"/>
        </w:rPr>
        <w:t>El tramo de 150 a 180 segundos usa el prototipo y las pruebas disponibles. Se reemplazará por el clip final de funcionamiento completo cuando el equipo lo aporte. La consulta a la IA se muestra como esquema o reconstrucción gráfica identificada, no como captura histórica.</w:t>
      </w:r>
    </w:p>
    <w:p>
      <w:pPr>
        <w:pStyle w:val="Heading2"/>
        <w:widowControl/>
      </w:pPr>
      <w:r>
        <w:t>Narración del videoclip</w:t>
      </w:r>
    </w:p>
    <w:p>
      <w:pPr>
        <w:widowControl/>
        <w:spacing w:before="140" w:after="60"/>
      </w:pPr>
      <w:r/>
      <w:r>
        <w:rPr>
          <w:b/>
          <w:sz w:val="20"/>
        </w:rPr>
        <w:t>00:00 a 00:30   El reto</w:t>
      </w:r>
    </w:p>
    <w:p>
      <w:pPr>
        <w:widowControl/>
        <w:spacing w:after="80"/>
      </w:pPr>
      <w:r>
        <w:rPr>
          <w:sz w:val="20"/>
        </w:rPr>
        <w:t>JaqueBot nació de una idea: explorar cómo un brazo robótico puede mover y clasificar objetos para ayudar a optimizar tareas repetitivas. Nosotros elegimos el ajedrez para demostrar esa capacidad. Cada jugada exige reconocer una pieza, calcular un destino y convertir una decisión digital en movimiento físico. Así conectamos lo que aprendimos en sistemas con un prototipo real.</w:t>
      </w:r>
    </w:p>
    <w:p>
      <w:pPr>
        <w:widowControl/>
        <w:spacing w:before="140" w:after="60"/>
      </w:pPr>
      <w:r/>
      <w:r>
        <w:rPr>
          <w:b/>
          <w:sz w:val="20"/>
        </w:rPr>
        <w:t>00:30 a 01:30   Desarrollo y ajustes</w:t>
      </w:r>
    </w:p>
    <w:p>
      <w:pPr>
        <w:widowControl/>
        <w:spacing w:after="80"/>
      </w:pPr>
      <w:r>
        <w:rPr>
          <w:sz w:val="20"/>
        </w:rPr>
        <w:t>El desarrollo reunió mecánica, electrónica y programación. Usamos ChatGPT Codex como apoyo para revisar soluciones, describiendo el hardware disponible, sus límites y el protocolo del robot. La inteligencia artificial necesitó orientación y comprobación. Durante una captura aparecieron lecturas distintas de posición. Aprendimos que recibir una respuesta del controlador no demuestra que el brazo haya llegado. Reforzamos la verificación con lecturas consecutivas y evitamos repetir automáticamente un traslado fallido. También ajustamos la coordinación del estacionamiento y de la herramienta. Los registros de estas pruebas nos ayudaron a encontrar problemas y decidir qué revisar antes de continuar.</w:t>
      </w:r>
    </w:p>
    <w:p>
      <w:pPr>
        <w:widowControl/>
        <w:spacing w:before="140" w:after="60"/>
      </w:pPr>
      <w:r/>
      <w:r>
        <w:rPr>
          <w:b/>
          <w:sz w:val="20"/>
        </w:rPr>
        <w:t>01:30 a 02:30   La construcción</w:t>
      </w:r>
    </w:p>
    <w:p>
      <w:pPr>
        <w:widowControl/>
        <w:spacing w:after="80"/>
      </w:pPr>
      <w:r>
        <w:rPr>
          <w:sz w:val="20"/>
        </w:rPr>
        <w:t>En Autodesk Fusion adaptamos la plataforma EduSCARA y el conjunto del tablero, las piezas y los soportes. La fabricación y el ensamble hicieron tangible el diseño. Integramos los servomotores, los potenciómetros, la NUCLEO y la Raspberry Pi con su cámara. El electroimán añadió la posibilidad de sujetar y liberar las piezas. Construimos dos aplicaciones. JaqueBot manual permite preparar y controlar el brazo, mover sus articulaciones y probar la herramienta. JaqueBot Ajedrez combina visión con ArUco, reglas de juego y el motor Stockfish. La aplicación organiza los movimientos y comprueba el resultado antes de continuar. Cada componente cumple una función dentro del mismo sistema.</w:t>
      </w:r>
    </w:p>
    <w:p>
      <w:pPr>
        <w:widowControl/>
        <w:spacing w:before="140" w:after="60"/>
      </w:pPr>
      <w:r/>
      <w:r>
        <w:rPr>
          <w:b/>
          <w:sz w:val="20"/>
        </w:rPr>
        <w:t>02:30 a 03:00   El resultado</w:t>
      </w:r>
    </w:p>
    <w:p>
      <w:pPr>
        <w:widowControl/>
        <w:spacing w:after="80"/>
      </w:pPr>
      <w:r>
        <w:rPr>
          <w:sz w:val="20"/>
        </w:rPr>
        <w:t>Hoy presentamos el prototipo terminado. La aplicación calcula una jugada y el brazo activa el electroimán para mover la pieza. El tablero pequeño requiere supervisión: piezas cercanas pueden levantarse juntas. Para producción tendríamos que adaptar el tamaño y la herramienta, y medir el desempeño. Somos estudiantes de once C. JaqueBot: ajedrez que cobra movimiento.</w:t>
      </w:r>
    </w:p>
    <w:p>
      <w:pPr>
        <w:widowControl/>
      </w:pPr>
      <w:r>
        <w:br w:type="page"/>
      </w:r>
    </w:p>
    <w:p>
      <w:pPr>
        <w:pStyle w:val="Heading1"/>
        <w:widowControl/>
      </w:pPr>
      <w:r>
        <w:t>Preguntas del jurado</w:t>
      </w:r>
    </w:p>
    <w:p>
      <w:pPr>
        <w:pStyle w:val="Subtitle"/>
        <w:widowControl/>
      </w:pPr>
      <w:r>
        <w:t>15:00 a 20:00   |   Participa todo el equipo</w:t>
      </w:r>
    </w:p>
    <w:p>
      <w:pPr>
        <w:widowControl/>
      </w:pPr>
      <w:r>
        <w:t>Después del video, el gestor dice: Gracias por acompañar nuestro proceso. Ahora escuchamos las preguntas del jurado. Cada integrante responderá desde su área y el equipo complementará cuando sea necesario.</w:t>
      </w:r>
    </w:p>
    <w:p>
      <w:pPr>
        <w:widowControl/>
        <w:spacing w:before="100" w:after="60"/>
      </w:pPr>
      <w:r/>
      <w:r>
        <w:rPr>
          <w:b/>
        </w:rPr>
        <w:t>1. ¿Cuál es el propósito del proyecto más allá del ajedrez?</w:t>
      </w:r>
    </w:p>
    <w:p>
      <w:pPr>
        <w:widowControl/>
        <w:spacing w:after="140"/>
      </w:pPr>
      <w:r>
        <w:rPr>
          <w:sz w:val="20"/>
        </w:rPr>
        <w:t>Explorar un brazo programable para mover y clasificar objetos, con la intención de optimizar tareas repetitivas. El ajedrez demuestra el traslado y la coordinación. Un uso industrial necesita adaptar tamaño, herramienta y seguridad, y medir tiempos y fiabilidad con objetos reales.</w:t>
      </w:r>
    </w:p>
    <w:p>
      <w:pPr>
        <w:widowControl/>
        <w:spacing w:before="100" w:after="60"/>
      </w:pPr>
      <w:r/>
      <w:r>
        <w:rPr>
          <w:b/>
        </w:rPr>
        <w:t>2. ¿Qué hace cada una de las dos apps?</w:t>
      </w:r>
    </w:p>
    <w:p>
      <w:pPr>
        <w:widowControl/>
        <w:spacing w:after="140"/>
      </w:pPr>
      <w:r>
        <w:rPr>
          <w:sz w:val="20"/>
        </w:rPr>
        <w:t>JaqueBot manual controla base, codo, Z, destinos X/Y y electroimán, y permite preparar la sesión. JaqueBot Ajedrez integra cámara, ArUco, reglas, Stockfish y secuencias de traslado. Comparten el mismo controlador y solo una puede poseer el USB a la vez.</w:t>
      </w:r>
    </w:p>
    <w:p>
      <w:pPr>
        <w:widowControl/>
        <w:spacing w:before="100" w:after="60"/>
      </w:pPr>
      <w:r/>
      <w:r>
        <w:rPr>
          <w:b/>
        </w:rPr>
        <w:t>3. ¿El robot realmente piensa la jugada?</w:t>
      </w:r>
    </w:p>
    <w:p>
      <w:pPr>
        <w:widowControl/>
        <w:spacing w:after="140"/>
      </w:pPr>
      <w:r>
        <w:rPr>
          <w:sz w:val="20"/>
        </w:rPr>
        <w:t>Stockfish calcula la respuesta mediante UCI. OpenCV identifica marcadores y python-chess valida las reglas. Nuestra app enlaza esas funciones, planifica los traslados y coordina la NUCLEO. El motor de ajedrez no reconoce imágenes ni acciona los servos directamente.</w:t>
      </w:r>
    </w:p>
    <w:p>
      <w:pPr>
        <w:widowControl/>
        <w:spacing w:before="100" w:after="60"/>
      </w:pPr>
      <w:r/>
      <w:r>
        <w:rPr>
          <w:b/>
        </w:rPr>
        <w:t>4. ¿Cómo sabe el sistema qué pieza está en cada casilla?</w:t>
      </w:r>
    </w:p>
    <w:p>
      <w:pPr>
        <w:widowControl/>
        <w:spacing w:after="140"/>
      </w:pPr>
      <w:r>
        <w:rPr>
          <w:sz w:val="20"/>
        </w:rPr>
        <w:t>La cámara captura el tablero y OpenCV detecta identidades ArUco. Cuatro referencias orientan la cuadrícula; la calibración relaciona imagen, tablero y brazo. La app requiere observaciones nuevas y estables y valida las identidades, no solamente el color de las piezas.</w:t>
      </w:r>
    </w:p>
    <w:p>
      <w:pPr>
        <w:widowControl/>
        <w:spacing w:before="100" w:after="60"/>
      </w:pPr>
      <w:r/>
      <w:r>
        <w:rPr>
          <w:b/>
        </w:rPr>
        <w:t>5. ¿Cómo se comunican la app y la NUCLEO?</w:t>
      </w:r>
    </w:p>
    <w:p>
      <w:pPr>
        <w:widowControl/>
        <w:spacing w:after="140"/>
      </w:pPr>
      <w:r>
        <w:rPr>
          <w:sz w:val="20"/>
        </w:rPr>
        <w:t>Mediante USB serial a 115200 baudios. Las órdenes del protocolo tienen 48 bytes y reciben una confirmación de cuatro bytes. Un trabajador serial administra el enlace. El ACK confirma el intercambio; la llegada de base y codo se comprueba aparte con lecturas ADC.</w:t>
      </w:r>
    </w:p>
    <w:p>
      <w:pPr>
        <w:widowControl/>
        <w:spacing w:before="100" w:after="60"/>
      </w:pPr>
      <w:r/>
      <w:r>
        <w:rPr>
          <w:b/>
        </w:rPr>
        <w:t>6. ¿Qué diferencia hay entre ADC y PWM en este robot?</w:t>
      </w:r>
    </w:p>
    <w:p>
      <w:pPr>
        <w:widowControl/>
        <w:spacing w:after="140"/>
      </w:pPr>
      <w:r>
        <w:rPr>
          <w:sz w:val="20"/>
        </w:rPr>
        <w:t>ADC convierte la señal analógica de los potenciómetros en datos para calcular los ángulos de base y codo. Las señales de control de servos ordenan su posición. La posición X/Y se calcula por geometría; Z conserva una referencia nominal y no mide altura física.</w:t>
      </w:r>
    </w:p>
    <w:p>
      <w:pPr>
        <w:widowControl/>
        <w:spacing w:before="100" w:after="60"/>
      </w:pPr>
      <w:r/>
      <w:r>
        <w:rPr>
          <w:b/>
        </w:rPr>
        <w:t>7. ¿Cómo se activa el electroimán?</w:t>
      </w:r>
    </w:p>
    <w:p>
      <w:pPr>
        <w:widowControl/>
        <w:spacing w:after="140"/>
      </w:pPr>
      <w:r>
        <w:rPr>
          <w:sz w:val="20"/>
        </w:rPr>
        <w:t>La app manda la orden por el USB de la NUCLEO. PB5 gobierna un MOSFET externo y una fuente de 12 V alimenta la bobina. Se activa tras llegar y bajar para recoger; se mantiene durante el traslado y se apaga al depositar. La señal no mide agarre.</w:t>
      </w:r>
    </w:p>
    <w:p>
      <w:pPr>
        <w:widowControl/>
      </w:pPr>
      <w:r>
        <w:br w:type="page"/>
      </w:r>
    </w:p>
    <w:p>
      <w:pPr>
        <w:pStyle w:val="Heading1"/>
        <w:widowControl/>
      </w:pPr>
      <w:r>
        <w:t>Preparación de respuestas técnicas</w:t>
      </w:r>
    </w:p>
    <w:p>
      <w:pPr>
        <w:widowControl/>
        <w:spacing w:before="140" w:after="140"/>
      </w:pPr>
      <w:r>
        <w:rPr>
          <w:i/>
          <w:color w:val="414141"/>
          <w:sz w:val="19"/>
        </w:rPr>
        <w:t>Responder con el funcionamiento observado, los registros y la función de cada componente. Si algo no se midió, explicar cómo se comprobaría.</w:t>
      </w:r>
    </w:p>
    <w:p>
      <w:pPr>
        <w:widowControl/>
        <w:spacing w:before="100" w:after="60"/>
      </w:pPr>
      <w:r/>
      <w:r>
        <w:rPr>
          <w:b/>
        </w:rPr>
        <w:t>8. ¿Qué pasa si el imán levanta más de una pieza?</w:t>
      </w:r>
    </w:p>
    <w:p>
      <w:pPr>
        <w:widowControl/>
        <w:spacing w:after="140"/>
      </w:pPr>
      <w:r>
        <w:rPr>
          <w:sz w:val="20"/>
        </w:rPr>
        <w:t>Es una limitación observada con piezas muy próximas en el tablero pequeño. La demostración requiere supervisión de la toma y la liberación; el operador interviene cuando ocurre. Una adaptación debe revisar separación, escala y herramienta. No hay sensor que cuente las piezas sujetadas.</w:t>
      </w:r>
    </w:p>
    <w:p>
      <w:pPr>
        <w:widowControl/>
        <w:spacing w:before="100" w:after="60"/>
      </w:pPr>
      <w:r/>
      <w:r>
        <w:rPr>
          <w:b/>
        </w:rPr>
        <w:t>9. ¿Qué error real corrigieron durante el desarrollo?</w:t>
      </w:r>
    </w:p>
    <w:p>
      <w:pPr>
        <w:widowControl/>
        <w:spacing w:after="140"/>
      </w:pPr>
      <w:r>
        <w:rPr>
          <w:sz w:val="20"/>
        </w:rPr>
        <w:t>Una captura Bxa3 produjo lecturas de base distintas durante la misma operación. Se reforzó la comprobación de llegada: tres lecturas ADC consecutivas dentro de tolerancia; si falla, se bloquea sin reenviar el traslado. Esa corrección no demuestra eliminada una causa de ruido u oscilación mecánica.</w:t>
      </w:r>
    </w:p>
    <w:p>
      <w:pPr>
        <w:widowControl/>
        <w:spacing w:before="100" w:after="60"/>
      </w:pPr>
      <w:r/>
      <w:r>
        <w:rPr>
          <w:b/>
        </w:rPr>
        <w:t>10. ¿Cómo evitaron aceptar sin revisar las respuestas de la IA?</w:t>
      </w:r>
    </w:p>
    <w:p>
      <w:pPr>
        <w:widowControl/>
        <w:spacing w:after="140"/>
      </w:pPr>
      <w:r>
        <w:rPr>
          <w:sz w:val="20"/>
        </w:rPr>
        <w:t>Nosotros describimos el hardware, los límites y el protocolo a ChatGPT Codex. Después revisamos el código y contrastamos el comportamiento con registros y pruebas. La IA ayudó a proponer soluciones; el equipo comprobó cuáles respetaban el montaje y podía explicar ante el jurado.</w:t>
      </w:r>
    </w:p>
    <w:p>
      <w:pPr>
        <w:widowControl/>
        <w:spacing w:before="100" w:after="60"/>
      </w:pPr>
      <w:r/>
      <w:r>
        <w:rPr>
          <w:b/>
        </w:rPr>
        <w:t>11. ¿Cómo se organiza el software?</w:t>
      </w:r>
    </w:p>
    <w:p>
      <w:pPr>
        <w:widowControl/>
        <w:spacing w:after="140"/>
      </w:pPr>
      <w:r>
        <w:rPr>
          <w:sz w:val="20"/>
        </w:rPr>
        <w:t>El firmware STM32 en C controla la electrónica. Las apps usan Python; la de ajedrez separa visión, reglas y motor, planificación, calibración y máquina de estados. Su ciclo principal distingue turno humano, validación, cálculo, traslado y verificación antes de continuar.</w:t>
      </w:r>
    </w:p>
    <w:p>
      <w:pPr>
        <w:widowControl/>
        <w:spacing w:before="100" w:after="60"/>
      </w:pPr>
      <w:r/>
      <w:r>
        <w:rPr>
          <w:b/>
        </w:rPr>
        <w:t>12. ¿Qué medidas de seguridad y calibración aplican?</w:t>
      </w:r>
    </w:p>
    <w:p>
      <w:pPr>
        <w:widowControl/>
        <w:spacing w:after="140"/>
      </w:pPr>
      <w:r>
        <w:rPr>
          <w:sz w:val="20"/>
        </w:rPr>
        <w:t>Se revisan polaridad, alimentación, recorrido libre, sesión motora y referencia física de Z. La geometría del tablero y la calibración de motores son distintas. Servos e imán tienen sus fuentes y etapa de potencia. El corte de alimentación de servos debe estar accesible; bloquear la interfaz no es parada física inmediata.</w:t>
      </w:r>
    </w:p>
    <w:p>
      <w:pPr>
        <w:widowControl/>
        <w:spacing w:before="100" w:after="60"/>
      </w:pPr>
      <w:r/>
      <w:r>
        <w:rPr>
          <w:b/>
        </w:rPr>
        <w:t>13. ¿Cuánto costó y cuánto se ahorró reutilizando recursos?</w:t>
      </w:r>
    </w:p>
    <w:p>
      <w:pPr>
        <w:widowControl/>
        <w:spacing w:after="140"/>
      </w:pPr>
      <w:r>
        <w:rPr>
          <w:sz w:val="20"/>
        </w:rPr>
        <w:t>Los dos pedidos documentados suman $711.474,77 COP. El equipo informó cerca de $1.000.000 con adicionales. La diferencia no es un gasto desglosado ni un ahorro probado. Hay que identificar los recursos reutilizados, las compras y las herramientas antes de cuantificar la optimización financiera.</w:t>
      </w:r>
    </w:p>
    <w:p>
      <w:pPr>
        <w:widowControl/>
        <w:spacing w:before="100" w:after="60"/>
      </w:pPr>
      <w:r/>
      <w:r>
        <w:rPr>
          <w:b/>
        </w:rPr>
        <w:t>14. ¿Qué habría que cambiar para utilizarlo en producción?</w:t>
      </w:r>
    </w:p>
    <w:p>
      <w:pPr>
        <w:widowControl/>
        <w:spacing w:after="140"/>
      </w:pPr>
      <w:r>
        <w:rPr>
          <w:sz w:val="20"/>
        </w:rPr>
        <w:t>Adaptar tamaño, alcance, herramienta y separación de objetos a la tarea; comprobar carga, precisión, seguridad y fiabilidad. Después comparar el tiempo del proceso anterior con el automatizado. El proyecto no aporta todavía una cifra de productividad ni una validación industrial.</w:t>
      </w:r>
    </w:p>
    <w:p>
      <w:pPr>
        <w:pStyle w:val="Heading2"/>
        <w:widowControl/>
      </w:pPr>
      <w:r>
        <w:t>Referencias para preparar la defensa</w:t>
      </w:r>
    </w:p>
    <w:p>
      <w:pPr>
        <w:widowControl/>
      </w:pPr>
      <w:r>
        <w:rPr>
          <w:sz w:val="18"/>
        </w:rPr>
        <w:t>Guía orientadora de sustentación SENA suministrada por la institución; capítulos vigentes de la presentación; documentación de JaqueBot y registros de depuración Bxa3 y estacionamiento.</w:t>
      </w:r>
    </w:p>
    <w:p>
      <w:pPr>
        <w:widowControl/>
      </w:pPr>
      <w:r>
        <w:rPr>
          <w:sz w:val="18"/>
        </w:rPr>
      </w:r>
      <w:hyperlink r:id="rId27">
        <w:r>
          <w:rPr>
            <w:color w:val="164C71"/>
            <w:u w:val="single"/>
          </w:rPr>
          <w:t>EduSCARA · plataforma original</w:t>
        </w:r>
      </w:hyperlink>
      <w:r>
        <w:rPr>
          <w:sz w:val="18"/>
        </w:rPr>
        <w:t xml:space="preserve">   |   </w:t>
      </w:r>
      <w:hyperlink r:id="rId28">
        <w:r>
          <w:rPr>
            <w:color w:val="164C71"/>
            <w:u w:val="single"/>
          </w:rPr>
          <w:t>ST · NUCLEO-F446RE</w:t>
        </w:r>
      </w:hyperlink>
      <w:r>
        <w:rPr>
          <w:sz w:val="18"/>
        </w:rPr>
        <w:t xml:space="preserve">   |   </w:t>
      </w:r>
      <w:hyperlink r:id="rId29">
        <w:r>
          <w:rPr>
            <w:color w:val="164C71"/>
            <w:u w:val="single"/>
          </w:rPr>
          <w:t>OpenCV · detección ArUco</w:t>
        </w:r>
      </w:hyperlink>
      <w:r>
        <w:rPr>
          <w:sz w:val="18"/>
        </w:rPr>
        <w:t xml:space="preserve">   |   </w:t>
      </w:r>
      <w:hyperlink r:id="rId30">
        <w:r>
          <w:rPr>
            <w:color w:val="164C71"/>
            <w:u w:val="single"/>
          </w:rPr>
          <w:t>python-chess · reglas y motor</w:t>
        </w:r>
      </w:hyperlink>
      <w:r>
        <w:rPr>
          <w:sz w:val="18"/>
        </w:rPr>
        <w:t xml:space="preserve">   |   </w:t>
      </w:r>
      <w:hyperlink r:id="rId31">
        <w:r>
          <w:rPr>
            <w:color w:val="164C71"/>
            <w:u w:val="single"/>
          </w:rPr>
          <w:t>Stockfish · motor de ajedrez</w:t>
        </w:r>
      </w:hyperlink>
    </w:p>
    <w:p>
      <w:pPr>
        <w:widowControl/>
      </w:pPr>
      <w:r>
        <w:rPr>
          <w:sz w:val="18"/>
        </w:rPr>
        <w:t>Práctica final. Ensayar la transferencia física elegida con el montaje real y confirmar que cabe en el bloque de demostración. Dejar el video cargado y mantener a la vista el cronómetro.</w:t>
      </w:r>
    </w:p>
    <w:sectPr w:rsidR="00FC693F" w:rsidRPr="0006063C" w:rsidSect="00034616">
      <w:headerReference w:type="default" r:id="rId9"/>
      <w:footerReference w:type="default" r:id="rId10"/>
      <w:pgSz w:w="11905" w:h="16838"/>
      <w:pgMar w:top="1066" w:right="1094" w:bottom="965" w:left="1094"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6"/>
      </w:rPr>
      <w:t xml:space="preserve">Guion de sustentación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696" w:val="left"/>
      </w:tabs>
      <w:spacing w:after="0"/>
    </w:pPr>
    <w:r>
      <w:drawing>
        <wp:inline xmlns:a="http://schemas.openxmlformats.org/drawingml/2006/main" xmlns:pic="http://schemas.openxmlformats.org/drawingml/2006/picture">
          <wp:extent cx="329184" cy="329184"/>
          <wp:docPr id="1" name="Picture 1" descr="Logotipo institucional original en color"/>
          <wp:cNvGraphicFramePr>
            <a:graphicFrameLocks noChangeAspect="1"/>
          </wp:cNvGraphicFramePr>
          <a:graphic>
            <a:graphicData uri="http://schemas.openxmlformats.org/drawingml/2006/picture">
              <pic:pic>
                <pic:nvPicPr>
                  <pic:cNvPr id="0" name="sena.png"/>
                  <pic:cNvPicPr/>
                </pic:nvPicPr>
                <pic:blipFill>
                  <a:blip r:embed="rId1"/>
                  <a:stretch>
                    <a:fillRect/>
                  </a:stretch>
                </pic:blipFill>
                <pic:spPr>
                  <a:xfrm>
                    <a:off x="0" y="0"/>
                    <a:ext cx="329184" cy="329184"/>
                  </a:xfrm>
                  <a:prstGeom prst="rect"/>
                </pic:spPr>
              </pic:pic>
            </a:graphicData>
          </a:graphic>
        </wp:inline>
      </w:drawing>
    </w:r>
    <w:r>
      <w:t xml:space="preserve">   </w:t>
    </w:r>
    <w:r>
      <w:drawing>
        <wp:inline xmlns:a="http://schemas.openxmlformats.org/drawingml/2006/main" xmlns:pic="http://schemas.openxmlformats.org/drawingml/2006/picture">
          <wp:extent cx="329184" cy="334920"/>
          <wp:docPr id="2" name="Picture 2" descr="Logotipo institucional original en color"/>
          <wp:cNvGraphicFramePr>
            <a:graphicFrameLocks noChangeAspect="1"/>
          </wp:cNvGraphicFramePr>
          <a:graphic>
            <a:graphicData uri="http://schemas.openxmlformats.org/drawingml/2006/picture">
              <pic:pic>
                <pic:nvPicPr>
                  <pic:cNvPr id="0" name="colegio.png"/>
                  <pic:cNvPicPr/>
                </pic:nvPicPr>
                <pic:blipFill>
                  <a:blip r:embed="rId2"/>
                  <a:stretch>
                    <a:fillRect/>
                  </a:stretch>
                </pic:blipFill>
                <pic:spPr>
                  <a:xfrm>
                    <a:off x="0" y="0"/>
                    <a:ext cx="329184" cy="334920"/>
                  </a:xfrm>
                  <a:prstGeom prst="rect"/>
                </pic:spPr>
              </pic:pic>
            </a:graphicData>
          </a:graphic>
        </wp:inline>
      </w:drawing>
    </w:r>
    <w:r>
      <w:tab/>
    </w:r>
    <w:r>
      <w:drawing>
        <wp:inline xmlns:a="http://schemas.openxmlformats.org/drawingml/2006/main" xmlns:pic="http://schemas.openxmlformats.org/drawingml/2006/picture">
          <wp:extent cx="265176" cy="265176"/>
          <wp:docPr id="3" name="Picture 3" descr="Logotipo institucional original en color"/>
          <wp:cNvGraphicFramePr>
            <a:graphicFrameLocks noChangeAspect="1"/>
          </wp:cNvGraphicFramePr>
          <a:graphic>
            <a:graphicData uri="http://schemas.openxmlformats.org/drawingml/2006/picture">
              <pic:pic>
                <pic:nvPicPr>
                  <pic:cNvPr id="0" name="jaquebot-logo.png"/>
                  <pic:cNvPicPr/>
                </pic:nvPicPr>
                <pic:blipFill>
                  <a:blip r:embed="rId3"/>
                  <a:stretch>
                    <a:fillRect/>
                  </a:stretch>
                </pic:blipFill>
                <pic:spPr>
                  <a:xfrm>
                    <a:off x="0" y="0"/>
                    <a:ext cx="265176" cy="265176"/>
                  </a:xfrm>
                  <a:prstGeom prst="rect"/>
                </pic:spPr>
              </pic:pic>
            </a:graphicData>
          </a:graphic>
        </wp:inline>
      </w:drawing>
    </w:r>
    <w:r>
      <w:rPr>
        <w:sz w:val="17"/>
      </w:rPr>
      <w:t xml:space="preserve">  JAQUEBOT   GRADO 11C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iabayonaor1.github.io/jaquebot-presentacion/#1" TargetMode="External"/><Relationship Id="rId12" Type="http://schemas.openxmlformats.org/officeDocument/2006/relationships/hyperlink" Target="https://riabayonaor1.github.io/jaquebot-presentacion/#2" TargetMode="External"/><Relationship Id="rId13" Type="http://schemas.openxmlformats.org/officeDocument/2006/relationships/hyperlink" Target="https://riabayonaor1.github.io/jaquebot-presentacion/#3" TargetMode="External"/><Relationship Id="rId14" Type="http://schemas.openxmlformats.org/officeDocument/2006/relationships/hyperlink" Target="https://riabayonaor1.github.io/jaquebot-presentacion/#15" TargetMode="External"/><Relationship Id="rId15" Type="http://schemas.openxmlformats.org/officeDocument/2006/relationships/hyperlink" Target="https://riabayonaor1.github.io/jaquebot-presentacion/#4" TargetMode="External"/><Relationship Id="rId16" Type="http://schemas.openxmlformats.org/officeDocument/2006/relationships/hyperlink" Target="https://riabayonaor1.github.io/jaquebot-presentacion/#5" TargetMode="External"/><Relationship Id="rId17" Type="http://schemas.openxmlformats.org/officeDocument/2006/relationships/hyperlink" Target="https://riabayonaor1.github.io/jaquebot-presentacion/#6" TargetMode="External"/><Relationship Id="rId18" Type="http://schemas.openxmlformats.org/officeDocument/2006/relationships/hyperlink" Target="https://riabayonaor1.github.io/jaquebot-presentacion/#7" TargetMode="External"/><Relationship Id="rId19" Type="http://schemas.openxmlformats.org/officeDocument/2006/relationships/hyperlink" Target="https://riabayonaor1.github.io/jaquebot-presentacion/#8" TargetMode="External"/><Relationship Id="rId20" Type="http://schemas.openxmlformats.org/officeDocument/2006/relationships/hyperlink" Target="https://riabayonaor1.github.io/jaquebot-presentacion/#9" TargetMode="External"/><Relationship Id="rId21" Type="http://schemas.openxmlformats.org/officeDocument/2006/relationships/hyperlink" Target="https://riabayonaor1.github.io/jaquebot-presentacion/#10" TargetMode="External"/><Relationship Id="rId22" Type="http://schemas.openxmlformats.org/officeDocument/2006/relationships/hyperlink" Target="https://riabayonaor1.github.io/jaquebot-presentacion/#12" TargetMode="External"/><Relationship Id="rId23" Type="http://schemas.openxmlformats.org/officeDocument/2006/relationships/hyperlink" Target="https://riabayonaor1.github.io/jaquebot-presentacion/#11" TargetMode="External"/><Relationship Id="rId24" Type="http://schemas.openxmlformats.org/officeDocument/2006/relationships/hyperlink" Target="https://riabayonaor1.github.io/jaquebot-presentacion/#13" TargetMode="External"/><Relationship Id="rId25" Type="http://schemas.openxmlformats.org/officeDocument/2006/relationships/hyperlink" Target="https://riabayonaor1.github.io/jaquebot-presentacion/#14" TargetMode="External"/><Relationship Id="rId26" Type="http://schemas.openxmlformats.org/officeDocument/2006/relationships/hyperlink" Target="https://riabayonaor1.github.io/jaquebot-presentacion/#16" TargetMode="External"/><Relationship Id="rId27" Type="http://schemas.openxmlformats.org/officeDocument/2006/relationships/hyperlink" Target="https://doi.org/10.1016/j.ohx.2026.e00761" TargetMode="External"/><Relationship Id="rId28" Type="http://schemas.openxmlformats.org/officeDocument/2006/relationships/hyperlink" Target="https://www.st.com/en/evaluation-tools/nucleo-f446re.html" TargetMode="External"/><Relationship Id="rId29" Type="http://schemas.openxmlformats.org/officeDocument/2006/relationships/hyperlink" Target="https://docs.opencv.org/4.x/d5/dae/tutorial_aruco_detection.html" TargetMode="External"/><Relationship Id="rId30" Type="http://schemas.openxmlformats.org/officeDocument/2006/relationships/hyperlink" Target="https://python-chess.readthedocs.io/en/latest/" TargetMode="External"/><Relationship Id="rId31" Type="http://schemas.openxmlformats.org/officeDocument/2006/relationships/hyperlink" Target="https://stockfishchess.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sustentación de JaqueBot</dc:title>
  <dc:subject>Exposición SENA del proyecto JaqueBot Grado 11C 2026</dc:subject>
  <dc:creator>Proyecto JaqueBot Grado 11C</dc:creator>
  <cp:keywords>JaqueBot, SENA, sustentación, robot, guion</cp:keywords>
  <dc:description>generated by python-docx</dc:description>
  <cp:lastModifiedBy/>
  <cp:revision>1</cp:revision>
  <dcterms:created xsi:type="dcterms:W3CDTF">2013-12-23T23:15:00Z</dcterms:created>
  <dcterms:modified xsi:type="dcterms:W3CDTF">2013-12-23T23:15:00Z</dcterms:modified>
  <cp:category/>
</cp:coreProperties>
</file>