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0DAC" w14:textId="07059DC1" w:rsidR="00B67587" w:rsidRDefault="00B67587">
      <w:r w:rsidRPr="00B67587">
        <w:drawing>
          <wp:inline distT="0" distB="0" distL="0" distR="0" wp14:anchorId="7D81A8BC" wp14:editId="2A5FFF81">
            <wp:extent cx="5731510" cy="3200400"/>
            <wp:effectExtent l="0" t="0" r="2540" b="0"/>
            <wp:docPr id="209790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1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ABFD" w14:textId="77777777" w:rsidR="00B67587" w:rsidRPr="00B67587" w:rsidRDefault="00B67587" w:rsidP="00B67587">
      <w:pPr>
        <w:rPr>
          <w:b/>
          <w:bCs/>
        </w:rPr>
      </w:pPr>
      <w:r w:rsidRPr="00B67587">
        <w:rPr>
          <w:rFonts w:ascii="Segoe UI Emoji" w:hAnsi="Segoe UI Emoji" w:cs="Segoe UI Emoji"/>
          <w:b/>
          <w:bCs/>
        </w:rPr>
        <w:t>💳</w:t>
      </w:r>
      <w:r w:rsidRPr="00B67587">
        <w:rPr>
          <w:b/>
          <w:bCs/>
        </w:rPr>
        <w:t xml:space="preserve"> Customer Spending Overview</w:t>
      </w:r>
    </w:p>
    <w:p w14:paraId="0D1AE1C7" w14:textId="77777777" w:rsidR="00B67587" w:rsidRPr="00B67587" w:rsidRDefault="00B67587" w:rsidP="00B67587">
      <w:pPr>
        <w:numPr>
          <w:ilvl w:val="0"/>
          <w:numId w:val="1"/>
        </w:numPr>
      </w:pPr>
      <w:r w:rsidRPr="00B67587">
        <w:rPr>
          <w:b/>
          <w:bCs/>
        </w:rPr>
        <w:t>Total customer spend stands at 531M</w:t>
      </w:r>
      <w:r w:rsidRPr="00B67587">
        <w:t>, indicating strong overall spending activity</w:t>
      </w:r>
    </w:p>
    <w:p w14:paraId="5B54531A" w14:textId="77777777" w:rsidR="00B67587" w:rsidRPr="00B67587" w:rsidRDefault="00B67587" w:rsidP="00B67587">
      <w:pPr>
        <w:numPr>
          <w:ilvl w:val="0"/>
          <w:numId w:val="1"/>
        </w:numPr>
      </w:pPr>
      <w:r w:rsidRPr="00B67587">
        <w:rPr>
          <w:b/>
          <w:bCs/>
        </w:rPr>
        <w:t>Spending is highly skewed</w:t>
      </w:r>
      <w:r w:rsidRPr="00B67587">
        <w:t>, with a small set of categories driving most of the value</w:t>
      </w:r>
    </w:p>
    <w:p w14:paraId="4D04F50B" w14:textId="77777777" w:rsidR="00B67587" w:rsidRPr="00B67587" w:rsidRDefault="00B67587" w:rsidP="00B67587">
      <w:pPr>
        <w:numPr>
          <w:ilvl w:val="0"/>
          <w:numId w:val="1"/>
        </w:numPr>
      </w:pPr>
      <w:r w:rsidRPr="00B67587">
        <w:rPr>
          <w:b/>
          <w:bCs/>
        </w:rPr>
        <w:t>Customer base spans wide income ranges</w:t>
      </w:r>
      <w:r w:rsidRPr="00B67587">
        <w:t>, showing a diversified but fragmented income profile</w:t>
      </w:r>
    </w:p>
    <w:p w14:paraId="523996B7" w14:textId="010E05D6" w:rsidR="00B67587" w:rsidRPr="00B67587" w:rsidRDefault="00B67587" w:rsidP="00B67587">
      <w:pPr>
        <w:numPr>
          <w:ilvl w:val="0"/>
          <w:numId w:val="1"/>
        </w:numPr>
      </w:pPr>
      <w:r w:rsidRPr="00B67587">
        <w:t xml:space="preserve">High-frequency low-value spends dominate, highlighting </w:t>
      </w:r>
      <w:r w:rsidRPr="00B67587">
        <w:rPr>
          <w:b/>
          <w:bCs/>
        </w:rPr>
        <w:t>volume-led consumption behavio</w:t>
      </w:r>
      <w:r>
        <w:rPr>
          <w:b/>
          <w:bCs/>
        </w:rPr>
        <w:t>u</w:t>
      </w:r>
      <w:r w:rsidRPr="00B67587">
        <w:rPr>
          <w:b/>
          <w:bCs/>
        </w:rPr>
        <w:t>r</w:t>
      </w:r>
    </w:p>
    <w:p w14:paraId="08D0CDF1" w14:textId="1471A963" w:rsidR="00B67587" w:rsidRDefault="00B67587" w:rsidP="00B67587">
      <w:pPr>
        <w:ind w:left="720"/>
      </w:pPr>
      <w:r w:rsidRPr="00B67587">
        <w:lastRenderedPageBreak/>
        <w:drawing>
          <wp:inline distT="0" distB="0" distL="0" distR="0" wp14:anchorId="677BFB07" wp14:editId="2AFC3B62">
            <wp:extent cx="5731510" cy="3197860"/>
            <wp:effectExtent l="0" t="0" r="2540" b="2540"/>
            <wp:docPr id="10387836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361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6834" w14:textId="77777777" w:rsidR="00B67587" w:rsidRPr="00B67587" w:rsidRDefault="00B67587" w:rsidP="00B67587">
      <w:pPr>
        <w:ind w:left="720"/>
        <w:rPr>
          <w:b/>
          <w:bCs/>
        </w:rPr>
      </w:pPr>
      <w:r w:rsidRPr="00B67587">
        <w:rPr>
          <w:rFonts w:ascii="Segoe UI Emoji" w:hAnsi="Segoe UI Emoji" w:cs="Segoe UI Emoji"/>
          <w:b/>
          <w:bCs/>
        </w:rPr>
        <w:t>👥</w:t>
      </w:r>
      <w:r w:rsidRPr="00B67587">
        <w:rPr>
          <w:b/>
          <w:bCs/>
        </w:rPr>
        <w:t xml:space="preserve"> Customer Demographics &amp; Spending Patterns</w:t>
      </w:r>
    </w:p>
    <w:p w14:paraId="025E78DF" w14:textId="77777777" w:rsidR="00B67587" w:rsidRPr="00B67587" w:rsidRDefault="00B67587" w:rsidP="00B67587">
      <w:pPr>
        <w:numPr>
          <w:ilvl w:val="0"/>
          <w:numId w:val="2"/>
        </w:numPr>
      </w:pPr>
      <w:r w:rsidRPr="00B67587">
        <w:rPr>
          <w:b/>
          <w:bCs/>
        </w:rPr>
        <w:t>25–34 age group leads</w:t>
      </w:r>
      <w:r w:rsidRPr="00B67587">
        <w:t xml:space="preserve"> in both customer count and total spend, followed by </w:t>
      </w:r>
      <w:r w:rsidRPr="00B67587">
        <w:rPr>
          <w:b/>
          <w:bCs/>
        </w:rPr>
        <w:t>35–45</w:t>
      </w:r>
    </w:p>
    <w:p w14:paraId="7D4FBEA7" w14:textId="77777777" w:rsidR="00B67587" w:rsidRPr="00B67587" w:rsidRDefault="00B67587" w:rsidP="00B67587">
      <w:pPr>
        <w:numPr>
          <w:ilvl w:val="0"/>
          <w:numId w:val="2"/>
        </w:numPr>
      </w:pPr>
      <w:r w:rsidRPr="00B67587">
        <w:rPr>
          <w:b/>
          <w:bCs/>
        </w:rPr>
        <w:t>Bills, Groceries, and Electronics</w:t>
      </w:r>
      <w:r w:rsidRPr="00B67587">
        <w:t xml:space="preserve"> are the top spending categories</w:t>
      </w:r>
    </w:p>
    <w:p w14:paraId="7751FCFC" w14:textId="77777777" w:rsidR="00B67587" w:rsidRPr="00B67587" w:rsidRDefault="00B67587" w:rsidP="00B67587">
      <w:pPr>
        <w:numPr>
          <w:ilvl w:val="0"/>
          <w:numId w:val="2"/>
        </w:numPr>
      </w:pPr>
      <w:r w:rsidRPr="00B67587">
        <w:t xml:space="preserve">Younger customers (21–24) show </w:t>
      </w:r>
      <w:r w:rsidRPr="00B67587">
        <w:rPr>
          <w:b/>
          <w:bCs/>
        </w:rPr>
        <w:t>lower spend intensity</w:t>
      </w:r>
      <w:r w:rsidRPr="00B67587">
        <w:t xml:space="preserve">, while </w:t>
      </w:r>
      <w:r w:rsidRPr="00B67587">
        <w:rPr>
          <w:b/>
          <w:bCs/>
        </w:rPr>
        <w:t>45+</w:t>
      </w:r>
      <w:r w:rsidRPr="00B67587">
        <w:t xml:space="preserve"> is smaller but stable</w:t>
      </w:r>
    </w:p>
    <w:p w14:paraId="1F634B1B" w14:textId="77777777" w:rsidR="00B67587" w:rsidRDefault="00B67587" w:rsidP="00B67587">
      <w:pPr>
        <w:numPr>
          <w:ilvl w:val="0"/>
          <w:numId w:val="2"/>
        </w:numPr>
      </w:pPr>
      <w:r w:rsidRPr="00B67587">
        <w:t xml:space="preserve">Spending is driven by </w:t>
      </w:r>
      <w:r w:rsidRPr="00B67587">
        <w:rPr>
          <w:b/>
          <w:bCs/>
        </w:rPr>
        <w:t>working-age urban customers</w:t>
      </w:r>
      <w:r w:rsidRPr="00B67587">
        <w:t>, indicating strong lifestyle and utility-led usage</w:t>
      </w:r>
    </w:p>
    <w:p w14:paraId="1201AB6D" w14:textId="77777777" w:rsidR="00B67587" w:rsidRPr="00B67587" w:rsidRDefault="00B67587" w:rsidP="00B67587">
      <w:pPr>
        <w:ind w:left="720"/>
      </w:pPr>
    </w:p>
    <w:p w14:paraId="01FA932F" w14:textId="6B287867" w:rsidR="00B67587" w:rsidRDefault="00B67587" w:rsidP="00B67587">
      <w:pPr>
        <w:ind w:left="720"/>
      </w:pPr>
      <w:r w:rsidRPr="00B67587">
        <w:lastRenderedPageBreak/>
        <w:drawing>
          <wp:inline distT="0" distB="0" distL="0" distR="0" wp14:anchorId="0A9FF617" wp14:editId="1F557678">
            <wp:extent cx="5731510" cy="3222625"/>
            <wp:effectExtent l="0" t="0" r="2540" b="0"/>
            <wp:docPr id="1599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3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09CC" w14:textId="77777777" w:rsidR="00B67587" w:rsidRPr="00B67587" w:rsidRDefault="00B67587" w:rsidP="00B67587">
      <w:pPr>
        <w:ind w:left="720"/>
        <w:rPr>
          <w:b/>
          <w:bCs/>
        </w:rPr>
      </w:pPr>
      <w:r w:rsidRPr="00B67587">
        <w:rPr>
          <w:rFonts w:ascii="Segoe UI Emoji" w:hAnsi="Segoe UI Emoji" w:cs="Segoe UI Emoji"/>
          <w:b/>
          <w:bCs/>
        </w:rPr>
        <w:t>💰</w:t>
      </w:r>
      <w:r w:rsidRPr="00B67587">
        <w:rPr>
          <w:b/>
          <w:bCs/>
        </w:rPr>
        <w:t xml:space="preserve"> Income-Based Spending &amp; Category Insights</w:t>
      </w:r>
    </w:p>
    <w:p w14:paraId="697D8BA2" w14:textId="77777777" w:rsidR="00B67587" w:rsidRPr="00B67587" w:rsidRDefault="00B67587" w:rsidP="00B67587">
      <w:pPr>
        <w:numPr>
          <w:ilvl w:val="0"/>
          <w:numId w:val="3"/>
        </w:numPr>
      </w:pPr>
      <w:r w:rsidRPr="00B67587">
        <w:rPr>
          <w:b/>
          <w:bCs/>
        </w:rPr>
        <w:t>Spending increases with income</w:t>
      </w:r>
      <w:r w:rsidRPr="00B67587">
        <w:t xml:space="preserve">, peaking in the </w:t>
      </w:r>
      <w:r w:rsidRPr="00B67587">
        <w:rPr>
          <w:b/>
          <w:bCs/>
        </w:rPr>
        <w:t>₹55K–₹75K</w:t>
      </w:r>
      <w:r w:rsidRPr="00B67587">
        <w:t xml:space="preserve"> range</w:t>
      </w:r>
    </w:p>
    <w:p w14:paraId="1062AC5B" w14:textId="77777777" w:rsidR="00B67587" w:rsidRPr="00B67587" w:rsidRDefault="00B67587" w:rsidP="00B67587">
      <w:pPr>
        <w:numPr>
          <w:ilvl w:val="0"/>
          <w:numId w:val="3"/>
        </w:numPr>
      </w:pPr>
      <w:r w:rsidRPr="00B67587">
        <w:rPr>
          <w:b/>
          <w:bCs/>
        </w:rPr>
        <w:t>Bills and Groceries dominate</w:t>
      </w:r>
      <w:r w:rsidRPr="00B67587">
        <w:t xml:space="preserve"> across all income bands, showing essential-led spending</w:t>
      </w:r>
    </w:p>
    <w:p w14:paraId="347AE51E" w14:textId="77777777" w:rsidR="00B67587" w:rsidRPr="00B67587" w:rsidRDefault="00B67587" w:rsidP="00B67587">
      <w:pPr>
        <w:numPr>
          <w:ilvl w:val="0"/>
          <w:numId w:val="3"/>
        </w:numPr>
      </w:pPr>
      <w:r w:rsidRPr="00B67587">
        <w:rPr>
          <w:b/>
          <w:bCs/>
        </w:rPr>
        <w:t>Discretionary categories</w:t>
      </w:r>
      <w:r w:rsidRPr="00B67587">
        <w:t xml:space="preserve"> (Electronics, Travel, Entertainment) rise sharply at higher incomes</w:t>
      </w:r>
    </w:p>
    <w:p w14:paraId="69B4835E" w14:textId="77777777" w:rsidR="00B67587" w:rsidRPr="00B67587" w:rsidRDefault="00B67587" w:rsidP="00B67587">
      <w:pPr>
        <w:numPr>
          <w:ilvl w:val="0"/>
          <w:numId w:val="3"/>
        </w:numPr>
      </w:pPr>
      <w:r w:rsidRPr="00B67587">
        <w:rPr>
          <w:b/>
          <w:bCs/>
        </w:rPr>
        <w:t>Metro cities</w:t>
      </w:r>
      <w:r w:rsidRPr="00B67587">
        <w:t xml:space="preserve"> contribute the bulk of high-income, high-spend customers</w:t>
      </w:r>
    </w:p>
    <w:p w14:paraId="40AB8E99" w14:textId="77777777" w:rsidR="00B67587" w:rsidRPr="00B67587" w:rsidRDefault="00B67587" w:rsidP="00B67587">
      <w:pPr>
        <w:ind w:left="720"/>
      </w:pPr>
    </w:p>
    <w:p w14:paraId="5F741AED" w14:textId="77777777" w:rsidR="00B67587" w:rsidRDefault="00B67587"/>
    <w:p w14:paraId="217441E5" w14:textId="36121303" w:rsidR="00B67587" w:rsidRDefault="00B67587"/>
    <w:sectPr w:rsidR="00B6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9CA"/>
    <w:multiLevelType w:val="multilevel"/>
    <w:tmpl w:val="51B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0A7"/>
    <w:multiLevelType w:val="multilevel"/>
    <w:tmpl w:val="DD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A2D4E"/>
    <w:multiLevelType w:val="multilevel"/>
    <w:tmpl w:val="7AF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21420">
    <w:abstractNumId w:val="2"/>
  </w:num>
  <w:num w:numId="2" w16cid:durableId="1017539540">
    <w:abstractNumId w:val="1"/>
  </w:num>
  <w:num w:numId="3" w16cid:durableId="162734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87"/>
    <w:rsid w:val="00487A63"/>
    <w:rsid w:val="00B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8494"/>
  <w15:chartTrackingRefBased/>
  <w15:docId w15:val="{77200BEC-D5A4-49BD-8051-40077F22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sangwan</dc:creator>
  <cp:keywords/>
  <dc:description/>
  <cp:lastModifiedBy>Rekha sangwan</cp:lastModifiedBy>
  <cp:revision>1</cp:revision>
  <dcterms:created xsi:type="dcterms:W3CDTF">2025-12-13T11:40:00Z</dcterms:created>
  <dcterms:modified xsi:type="dcterms:W3CDTF">2025-12-13T11:47:00Z</dcterms:modified>
</cp:coreProperties>
</file>