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7365D"/>
          <w:sz w:val="36"/>
        </w:rPr>
        <w:t>TARGET CORPORATION</w:t>
      </w:r>
    </w:p>
    <w:p>
      <w:pPr>
        <w:spacing w:after="100"/>
        <w:jc w:val="center"/>
      </w:pPr>
      <w:r>
        <w:rPr>
          <w:b/>
          <w:color w:val="595959"/>
          <w:sz w:val="20"/>
        </w:rPr>
        <w:t>Investment Thesis Memo | July 14, 2026</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40"/>
            <w:tcMar>
              <w:top w:w="100" w:type="dxa"/>
              <w:start w:w="80" w:type="dxa"/>
              <w:bottom w:w="100" w:type="dxa"/>
              <w:end w:w="80" w:type="dxa"/>
            </w:tcMar>
            <w:shd w:fill="D9EAF7"/>
            <w:vAlign w:val="center"/>
          </w:tcPr>
          <w:p>
            <w:pPr>
              <w:spacing w:after="0"/>
              <w:jc w:val="center"/>
            </w:pPr>
            <w:r>
              <w:rPr>
                <w:b/>
                <w:color w:val="595959"/>
                <w:sz w:val="16"/>
              </w:rPr>
              <w:t>Current Price</w:t>
              <w:br/>
            </w:r>
            <w:r>
              <w:rPr>
                <w:b/>
                <w:color w:val="17365D"/>
                <w:sz w:val="26"/>
              </w:rPr>
              <w:t>$130.21</w:t>
            </w:r>
          </w:p>
        </w:tc>
        <w:tc>
          <w:tcPr>
            <w:tcW w:type="dxa" w:w="2340"/>
            <w:tcMar>
              <w:top w:w="100" w:type="dxa"/>
              <w:start w:w="80" w:type="dxa"/>
              <w:bottom w:w="100" w:type="dxa"/>
              <w:end w:w="80" w:type="dxa"/>
            </w:tcMar>
            <w:shd w:fill="D9EAF7"/>
            <w:vAlign w:val="center"/>
          </w:tcPr>
          <w:p>
            <w:pPr>
              <w:spacing w:after="0"/>
              <w:jc w:val="center"/>
            </w:pPr>
            <w:r>
              <w:rPr>
                <w:b/>
                <w:color w:val="595959"/>
                <w:sz w:val="16"/>
              </w:rPr>
              <w:t>DCF Value</w:t>
              <w:br/>
            </w:r>
            <w:r>
              <w:rPr>
                <w:b/>
                <w:color w:val="17365D"/>
                <w:sz w:val="26"/>
              </w:rPr>
              <w:t>$99.53</w:t>
            </w:r>
          </w:p>
        </w:tc>
        <w:tc>
          <w:tcPr>
            <w:tcW w:type="dxa" w:w="2340"/>
            <w:tcMar>
              <w:top w:w="100" w:type="dxa"/>
              <w:start w:w="80" w:type="dxa"/>
              <w:bottom w:w="100" w:type="dxa"/>
              <w:end w:w="80" w:type="dxa"/>
            </w:tcMar>
            <w:shd w:fill="D9EAF7"/>
            <w:vAlign w:val="center"/>
          </w:tcPr>
          <w:p>
            <w:pPr>
              <w:spacing w:after="0"/>
              <w:jc w:val="center"/>
            </w:pPr>
            <w:r>
              <w:rPr>
                <w:b/>
                <w:color w:val="595959"/>
                <w:sz w:val="16"/>
              </w:rPr>
              <w:t>Exit Cross-Check</w:t>
              <w:br/>
            </w:r>
            <w:r>
              <w:rPr>
                <w:b/>
                <w:color w:val="17365D"/>
                <w:sz w:val="26"/>
              </w:rPr>
              <w:t>$115.47</w:t>
            </w:r>
          </w:p>
        </w:tc>
        <w:tc>
          <w:tcPr>
            <w:tcW w:type="dxa" w:w="2340"/>
            <w:tcMar>
              <w:top w:w="100" w:type="dxa"/>
              <w:start w:w="80" w:type="dxa"/>
              <w:bottom w:w="100" w:type="dxa"/>
              <w:end w:w="80" w:type="dxa"/>
            </w:tcMar>
            <w:shd w:fill="D9EAF7"/>
            <w:vAlign w:val="center"/>
          </w:tcPr>
          <w:p>
            <w:pPr>
              <w:spacing w:after="0"/>
              <w:jc w:val="center"/>
            </w:pPr>
            <w:r>
              <w:rPr>
                <w:b/>
                <w:color w:val="595959"/>
                <w:sz w:val="16"/>
              </w:rPr>
              <w:t>Base WACC</w:t>
              <w:br/>
            </w:r>
            <w:r>
              <w:rPr>
                <w:b/>
                <w:color w:val="17365D"/>
                <w:sz w:val="26"/>
              </w:rPr>
              <w:t>8.27%</w:t>
            </w:r>
          </w:p>
        </w:tc>
      </w:tr>
    </w:tbl>
    <w:p>
      <w:pPr>
        <w:pStyle w:val="Heading1"/>
      </w:pPr>
      <w:r>
        <w:t>Conclusion: Conservative base case indicates downside</w:t>
      </w:r>
    </w:p>
    <w:p>
      <w:r>
        <w:t>Target’s base-case intrinsic value is $99.53 per share, approximately 23.6% below the supplied July 2, 2026 market price. An 8.0x exit-multiple cross-check produces $115.47 per share, also below market. The valuation reflects a gradual sales recovery and modest operating leverage, but not enough improvement to support the current price under conservative terminal assumptions.</w:t>
      </w:r>
    </w:p>
    <w:p>
      <w:pPr>
        <w:pStyle w:val="Heading2"/>
      </w:pPr>
      <w:r>
        <w:t>Operating case</w:t>
      </w:r>
    </w:p>
    <w:p>
      <w:pPr>
        <w:spacing w:after="40"/>
        <w:ind w:left="259" w:hanging="259"/>
      </w:pPr>
      <w:r>
        <w:rPr>
          <w:b/>
        </w:rPr>
        <w:t xml:space="preserve">• Revenue recovery: </w:t>
      </w:r>
      <w:r>
        <w:t>Growth rises from 1.0% in FY2026E to 3.0% by FY2029E–FY2030E after FY2025’s decline.</w:t>
      </w:r>
    </w:p>
    <w:p>
      <w:pPr>
        <w:spacing w:after="40"/>
        <w:ind w:left="259" w:hanging="259"/>
      </w:pPr>
      <w:r>
        <w:rPr>
          <w:b/>
        </w:rPr>
        <w:t xml:space="preserve">• Margin discipline: </w:t>
      </w:r>
      <w:r>
        <w:t>Gross margin holds near 28.0%, while SG&amp;A improves from 20.5% to 20.1% of revenue.</w:t>
      </w:r>
    </w:p>
    <w:p>
      <w:pPr>
        <w:spacing w:after="40"/>
        <w:ind w:left="259" w:hanging="259"/>
      </w:pPr>
      <w:r>
        <w:rPr>
          <w:b/>
        </w:rPr>
        <w:t xml:space="preserve">• Cash generation: </w:t>
      </w:r>
      <w:r>
        <w:t>UFCF normalizes after the FY2026 working-capital reset and reaches approximately $3.9 billion in FY2030E.</w:t>
      </w:r>
    </w:p>
    <w:p>
      <w:pPr>
        <w:spacing w:after="40"/>
        <w:ind w:left="259" w:hanging="259"/>
      </w:pPr>
      <w:r>
        <w:rPr>
          <w:b/>
        </w:rPr>
        <w:t xml:space="preserve">• Balance-sheet integrity: </w:t>
      </w:r>
      <w:r>
        <w:t>Cash is generated by the cash flow statement; all historical and projected balance checks equal exactly zero.</w:t>
      </w:r>
    </w:p>
    <w:p>
      <w:pPr>
        <w:pStyle w:val="Heading2"/>
      </w:pPr>
      <w:r>
        <w:t>Valuation framework</w:t>
      </w:r>
    </w:p>
    <w:p>
      <w:r>
        <w:t>The 8.27% WACC uses CAPM and a forward-looking 5.3% marginal pre-tax borrowing cost rather than Target’s lower legacy effective rate. The primary terminal value uses 2.0% perpetual growth, consistent with long-run inflation/GDP expectations. Sensitivity spans 7.0%–9.5% WACC and 1.0%–3.0% growth, with independently auditable formulas in every cell.</w:t>
      </w:r>
    </w:p>
    <w:p>
      <w:pPr>
        <w:pStyle w:val="Heading2"/>
      </w:pPr>
      <w:r>
        <w:t>Key risks and catalysts</w:t>
      </w:r>
    </w:p>
    <w:tbl>
      <w:tblPr>
        <w:tblW w:type="auto" w:w="0"/>
        <w:jc w:val="center"/>
        <w:tblLayout w:type="fixed"/>
        <w:tblLook w:firstColumn="1" w:firstRow="1" w:lastColumn="0" w:lastRow="0" w:noHBand="0" w:noVBand="1" w:val="04A0"/>
      </w:tblPr>
      <w:tblGrid>
        <w:gridCol w:w="5040"/>
        <w:gridCol w:w="5040"/>
      </w:tblGrid>
      <w:tr>
        <w:tc>
          <w:tcPr>
            <w:tcW w:type="dxa" w:w="4680"/>
            <w:shd w:fill="1F4E78"/>
            <w:tcMar>
              <w:top w:w="80" w:type="dxa"/>
              <w:start w:w="100" w:type="dxa"/>
              <w:bottom w:w="80" w:type="dxa"/>
              <w:end w:w="100" w:type="dxa"/>
            </w:tcMar>
          </w:tcPr>
          <w:p>
            <w:pPr>
              <w:jc w:val="center"/>
            </w:pPr>
            <w:r>
              <w:rPr>
                <w:b/>
                <w:color w:val="FFFFFF"/>
                <w:sz w:val="18"/>
              </w:rPr>
              <w:t>Upside catalysts</w:t>
            </w:r>
          </w:p>
        </w:tc>
        <w:tc>
          <w:tcPr>
            <w:tcW w:type="dxa" w:w="4680"/>
            <w:shd w:fill="1F4E78"/>
            <w:tcMar>
              <w:top w:w="80" w:type="dxa"/>
              <w:start w:w="100" w:type="dxa"/>
              <w:bottom w:w="80" w:type="dxa"/>
              <w:end w:w="100" w:type="dxa"/>
            </w:tcMar>
          </w:tcPr>
          <w:p>
            <w:pPr>
              <w:jc w:val="center"/>
            </w:pPr>
            <w:r>
              <w:rPr>
                <w:b/>
                <w:color w:val="FFFFFF"/>
                <w:sz w:val="18"/>
              </w:rPr>
              <w:t>Downside risks</w:t>
            </w:r>
          </w:p>
        </w:tc>
      </w:tr>
      <w:tr>
        <w:tc>
          <w:tcPr>
            <w:tcW w:type="dxa" w:w="4680"/>
            <w:tcMar>
              <w:top w:w="100" w:type="dxa"/>
              <w:start w:w="120" w:type="dxa"/>
              <w:bottom w:w="100" w:type="dxa"/>
              <w:end w:w="120" w:type="dxa"/>
            </w:tcMar>
            <w:vAlign w:val="center"/>
          </w:tcPr>
          <w:p>
            <w:r>
              <w:t>Faster traffic recovery; sustained mix and shrink improvement; SG&amp;A leverage above the base case; disciplined capital returns.</w:t>
            </w:r>
          </w:p>
        </w:tc>
        <w:tc>
          <w:tcPr>
            <w:tcW w:type="dxa" w:w="4680"/>
            <w:tcMar>
              <w:top w:w="100" w:type="dxa"/>
              <w:start w:w="120" w:type="dxa"/>
              <w:bottom w:w="100" w:type="dxa"/>
              <w:end w:w="120" w:type="dxa"/>
            </w:tcMar>
            <w:vAlign w:val="center"/>
          </w:tcPr>
          <w:p>
            <w:r>
              <w:t>Renewed comparable-sales pressure; gross-margin reversion; elevated capex without returns; higher-for-longer rates increasing the terminal-value discount.</w:t>
            </w:r>
          </w:p>
        </w:tc>
      </w:tr>
    </w:tbl>
    <w:p>
      <w:pPr>
        <w:pStyle w:val="Heading2"/>
      </w:pPr>
      <w:r>
        <w:t>Comps caveat</w:t>
      </w:r>
    </w:p>
    <w:p>
      <w:r>
        <w:t>The peer median is not a clean primary benchmark: Walmart, Costco, and TJX trade at premium growth and quality multiples. Their median produces an unrealistically high implied value for Target’s current growth and margin profile, so the model treats it only as a directional market cross-check.</w:t>
      </w:r>
    </w:p>
    <w:p>
      <w:pPr>
        <w:spacing w:before="100" w:after="0"/>
      </w:pPr>
      <w:r>
        <w:rPr>
          <w:b/>
          <w:color w:val="1F4E79"/>
        </w:rPr>
        <w:t xml:space="preserve">Recommendation framing: </w:t>
      </w:r>
      <w:r>
        <w:t>Maintain a cautious / below-market-value view unless execution supports a higher growth or margin path. Re-underwrite the case if traffic, gross margin, or SG&amp;A leverage materially exceeds the base assumptions.</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57575"/>
        <w:sz w:val="15"/>
      </w:rPr>
      <w:t>Portfolio project for Fall 2027 recruiting | Sources: Target 10-K filings, SEC EDGAR, and market inputs specified in project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Corporation Investment Thesis Memo</dc:title>
  <dc:subject/>
  <dc:creator>Ria</dc:creator>
  <cp:keywords/>
  <dc:description>generated by python-docx</dc:description>
  <cp:lastModifiedBy/>
  <cp:revision>1</cp:revision>
  <dcterms:created xsi:type="dcterms:W3CDTF">2013-12-23T23:15:00Z</dcterms:created>
  <dcterms:modified xsi:type="dcterms:W3CDTF">2013-12-23T23:15:00Z</dcterms:modified>
  <cp:category/>
</cp:coreProperties>
</file>