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36"/>
        </w:rPr>
        <w:t>Working Capital &amp; Cash Conversion Cycle Benchmark</w:t>
      </w:r>
    </w:p>
    <w:p>
      <w:r>
        <w:rPr>
          <w:rFonts w:ascii="Calibri" w:hAnsi="Calibri"/>
          <w:b w:val="0"/>
          <w:color w:val="555555"/>
          <w:sz w:val="20"/>
        </w:rPr>
        <w:t>Target Corporation vs. Walmart, Costco, TJX, and Dollar General | SQL-driven peer benchmark</w:t>
      </w:r>
    </w:p>
    <w:p>
      <w:pPr>
        <w:pStyle w:val="Heading1"/>
      </w:pPr>
      <w:r>
        <w:t>Executive Takeaway</w:t>
      </w:r>
    </w:p>
    <w:p>
      <w:r>
        <w:t>Target's cash conversion cycle is modestly negative in FY2023A-FY2025A, ranking first in this peer set in each year. That result is driven by accounts payable days slightly exceeding inventory days, while DSO is not a meaningful lever for Target because no material trade receivables balance is reported.</w:t>
      </w:r>
    </w:p>
    <w:p>
      <w:pPr>
        <w:pStyle w:val="Heading1"/>
      </w:pPr>
      <w:r>
        <w:t>Benchmark Snapshot</w:t>
      </w:r>
    </w:p>
    <w:tbl>
      <w:tblPr>
        <w:tblW w:type="dxa" w:w="9360"/>
        <w:jc w:val="left"/>
        <w:tblLayout w:type="fixed"/>
        <w:tblLook w:firstColumn="1" w:firstRow="1" w:lastColumn="0" w:lastRow="0" w:noHBand="0" w:noVBand="1" w:val="04A0"/>
        <w:tblInd w:w="120" w:type="dxa"/>
      </w:tblPr>
      <w:tblGrid>
        <w:gridCol w:w="2100"/>
        <w:gridCol w:w="1300"/>
        <w:gridCol w:w="1300"/>
        <w:gridCol w:w="1300"/>
        <w:gridCol w:w="3360"/>
      </w:tblGrid>
      <w:tr>
        <w:tc>
          <w:tcPr>
            <w:tcW w:type="dxa" w:w="2100"/>
            <w:shd w:fill="F2F4F7"/>
            <w:vAlign w:val="center"/>
            <w:tcMar>
              <w:top w:w="80" w:type="dxa"/>
              <w:start w:w="120" w:type="dxa"/>
              <w:bottom w:w="80" w:type="dxa"/>
              <w:end w:w="120" w:type="dxa"/>
            </w:tcMar>
          </w:tcPr>
          <w:p>
            <w:r>
              <w:rPr>
                <w:rFonts w:ascii="Calibri" w:hAnsi="Calibri"/>
                <w:b/>
                <w:color w:val="111827"/>
                <w:sz w:val="19"/>
              </w:rPr>
              <w:t>Company</w:t>
            </w:r>
          </w:p>
        </w:tc>
        <w:tc>
          <w:tcPr>
            <w:tcW w:type="dxa" w:w="1300"/>
            <w:shd w:fill="F2F4F7"/>
            <w:vAlign w:val="center"/>
            <w:tcMar>
              <w:top w:w="80" w:type="dxa"/>
              <w:start w:w="120" w:type="dxa"/>
              <w:bottom w:w="80" w:type="dxa"/>
              <w:end w:w="120" w:type="dxa"/>
            </w:tcMar>
          </w:tcPr>
          <w:p>
            <w:r>
              <w:rPr>
                <w:rFonts w:ascii="Calibri" w:hAnsi="Calibri"/>
                <w:b/>
                <w:color w:val="111827"/>
                <w:sz w:val="19"/>
              </w:rPr>
              <w:t>FY2023A CCC</w:t>
            </w:r>
          </w:p>
        </w:tc>
        <w:tc>
          <w:tcPr>
            <w:tcW w:type="dxa" w:w="1300"/>
            <w:shd w:fill="F2F4F7"/>
            <w:vAlign w:val="center"/>
            <w:tcMar>
              <w:top w:w="80" w:type="dxa"/>
              <w:start w:w="120" w:type="dxa"/>
              <w:bottom w:w="80" w:type="dxa"/>
              <w:end w:w="120" w:type="dxa"/>
            </w:tcMar>
          </w:tcPr>
          <w:p>
            <w:r>
              <w:rPr>
                <w:rFonts w:ascii="Calibri" w:hAnsi="Calibri"/>
                <w:b/>
                <w:color w:val="111827"/>
                <w:sz w:val="19"/>
              </w:rPr>
              <w:t>FY2024A CCC</w:t>
            </w:r>
          </w:p>
        </w:tc>
        <w:tc>
          <w:tcPr>
            <w:tcW w:type="dxa" w:w="1300"/>
            <w:shd w:fill="F2F4F7"/>
            <w:vAlign w:val="center"/>
            <w:tcMar>
              <w:top w:w="80" w:type="dxa"/>
              <w:start w:w="120" w:type="dxa"/>
              <w:bottom w:w="80" w:type="dxa"/>
              <w:end w:w="120" w:type="dxa"/>
            </w:tcMar>
          </w:tcPr>
          <w:p>
            <w:r>
              <w:rPr>
                <w:rFonts w:ascii="Calibri" w:hAnsi="Calibri"/>
                <w:b/>
                <w:color w:val="111827"/>
                <w:sz w:val="19"/>
              </w:rPr>
              <w:t>FY2025A CCC</w:t>
            </w:r>
          </w:p>
        </w:tc>
        <w:tc>
          <w:tcPr>
            <w:tcW w:type="dxa" w:w="3360"/>
            <w:shd w:fill="F2F4F7"/>
            <w:vAlign w:val="center"/>
            <w:tcMar>
              <w:top w:w="80" w:type="dxa"/>
              <w:start w:w="120" w:type="dxa"/>
              <w:bottom w:w="80" w:type="dxa"/>
              <w:end w:w="120" w:type="dxa"/>
            </w:tcMar>
          </w:tcPr>
          <w:p>
            <w:r>
              <w:rPr>
                <w:rFonts w:ascii="Calibri" w:hAnsi="Calibri"/>
                <w:b/>
                <w:color w:val="111827"/>
                <w:sz w:val="19"/>
              </w:rPr>
              <w:t>Primary driver</w:t>
            </w:r>
          </w:p>
        </w:tc>
      </w:tr>
      <w:tr>
        <w:tc>
          <w:tcPr>
            <w:tcW w:type="dxa" w:w="2100"/>
            <w:vAlign w:val="center"/>
            <w:shd w:fill="FDE9D9"/>
            <w:tcMar>
              <w:top w:w="80" w:type="dxa"/>
              <w:start w:w="120" w:type="dxa"/>
              <w:bottom w:w="80" w:type="dxa"/>
              <w:end w:w="120" w:type="dxa"/>
            </w:tcMar>
          </w:tcPr>
          <w:p>
            <w:r>
              <w:rPr>
                <w:rFonts w:ascii="Calibri" w:hAnsi="Calibri"/>
                <w:b/>
                <w:color w:val="000000"/>
                <w:sz w:val="19"/>
              </w:rPr>
              <w:t>Target</w:t>
            </w:r>
          </w:p>
        </w:tc>
        <w:tc>
          <w:tcPr>
            <w:tcW w:type="dxa" w:w="1300"/>
            <w:vAlign w:val="center"/>
            <w:shd w:fill="FDE9D9"/>
            <w:tcMar>
              <w:top w:w="80" w:type="dxa"/>
              <w:start w:w="120" w:type="dxa"/>
              <w:bottom w:w="80" w:type="dxa"/>
              <w:end w:w="120" w:type="dxa"/>
            </w:tcMar>
          </w:tcPr>
          <w:p>
            <w:pPr>
              <w:jc w:val="right"/>
            </w:pPr>
            <w:r>
              <w:rPr>
                <w:rFonts w:ascii="Calibri" w:hAnsi="Calibri"/>
                <w:b/>
                <w:color w:val="000000"/>
                <w:sz w:val="19"/>
              </w:rPr>
              <w:t>-0.5</w:t>
            </w:r>
          </w:p>
        </w:tc>
        <w:tc>
          <w:tcPr>
            <w:tcW w:type="dxa" w:w="1300"/>
            <w:vAlign w:val="center"/>
            <w:shd w:fill="FDE9D9"/>
            <w:tcMar>
              <w:top w:w="80" w:type="dxa"/>
              <w:start w:w="120" w:type="dxa"/>
              <w:bottom w:w="80" w:type="dxa"/>
              <w:end w:w="120" w:type="dxa"/>
            </w:tcMar>
          </w:tcPr>
          <w:p>
            <w:pPr>
              <w:jc w:val="right"/>
            </w:pPr>
            <w:r>
              <w:rPr>
                <w:rFonts w:ascii="Calibri" w:hAnsi="Calibri"/>
                <w:b/>
                <w:color w:val="000000"/>
                <w:sz w:val="19"/>
              </w:rPr>
              <w:t>-1.3</w:t>
            </w:r>
          </w:p>
        </w:tc>
        <w:tc>
          <w:tcPr>
            <w:tcW w:type="dxa" w:w="1300"/>
            <w:vAlign w:val="center"/>
            <w:shd w:fill="FDE9D9"/>
            <w:tcMar>
              <w:top w:w="80" w:type="dxa"/>
              <w:start w:w="120" w:type="dxa"/>
              <w:bottom w:w="80" w:type="dxa"/>
              <w:end w:w="120" w:type="dxa"/>
            </w:tcMar>
          </w:tcPr>
          <w:p>
            <w:pPr>
              <w:jc w:val="right"/>
            </w:pPr>
            <w:r>
              <w:rPr>
                <w:rFonts w:ascii="Calibri" w:hAnsi="Calibri"/>
                <w:b/>
                <w:color w:val="000000"/>
                <w:sz w:val="19"/>
              </w:rPr>
              <w:t>-1.6</w:t>
            </w:r>
          </w:p>
        </w:tc>
        <w:tc>
          <w:tcPr>
            <w:tcW w:type="dxa" w:w="3360"/>
            <w:vAlign w:val="center"/>
            <w:shd w:fill="FDE9D9"/>
            <w:tcMar>
              <w:top w:w="80" w:type="dxa"/>
              <w:start w:w="120" w:type="dxa"/>
              <w:bottom w:w="80" w:type="dxa"/>
              <w:end w:w="120" w:type="dxa"/>
            </w:tcMar>
          </w:tcPr>
          <w:p>
            <w:r>
              <w:rPr>
                <w:rFonts w:ascii="Calibri" w:hAnsi="Calibri"/>
                <w:b/>
                <w:color w:val="000000"/>
                <w:sz w:val="19"/>
              </w:rPr>
              <w:t>AP days offset DIO; DSO zero</w:t>
            </w:r>
          </w:p>
        </w:tc>
      </w:tr>
      <w:tr>
        <w:tc>
          <w:tcPr>
            <w:tcW w:type="dxa" w:w="2100"/>
            <w:vAlign w:val="center"/>
            <w:tcMar>
              <w:top w:w="80" w:type="dxa"/>
              <w:start w:w="120" w:type="dxa"/>
              <w:bottom w:w="80" w:type="dxa"/>
              <w:end w:w="120" w:type="dxa"/>
            </w:tcMar>
          </w:tcPr>
          <w:p>
            <w:r>
              <w:rPr>
                <w:rFonts w:ascii="Calibri" w:hAnsi="Calibri"/>
                <w:b w:val="0"/>
                <w:color w:val="000000"/>
                <w:sz w:val="19"/>
              </w:rPr>
              <w:t>Costco</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2.8</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2.3</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2.1</w:t>
            </w:r>
          </w:p>
        </w:tc>
        <w:tc>
          <w:tcPr>
            <w:tcW w:type="dxa" w:w="3360"/>
            <w:vAlign w:val="center"/>
            <w:tcMar>
              <w:top w:w="80" w:type="dxa"/>
              <w:start w:w="120" w:type="dxa"/>
              <w:bottom w:w="80" w:type="dxa"/>
              <w:end w:w="120" w:type="dxa"/>
            </w:tcMar>
          </w:tcPr>
          <w:p>
            <w:r>
              <w:rPr>
                <w:rFonts w:ascii="Calibri" w:hAnsi="Calibri"/>
                <w:b w:val="0"/>
                <w:color w:val="000000"/>
                <w:sz w:val="19"/>
              </w:rPr>
              <w:t>Fast turns and balanced AP</w:t>
            </w:r>
          </w:p>
        </w:tc>
      </w:tr>
      <w:tr>
        <w:tc>
          <w:tcPr>
            <w:tcW w:type="dxa" w:w="2100"/>
            <w:vAlign w:val="center"/>
            <w:tcMar>
              <w:top w:w="80" w:type="dxa"/>
              <w:start w:w="120" w:type="dxa"/>
              <w:bottom w:w="80" w:type="dxa"/>
              <w:end w:w="120" w:type="dxa"/>
            </w:tcMar>
          </w:tcPr>
          <w:p>
            <w:r>
              <w:rPr>
                <w:rFonts w:ascii="Calibri" w:hAnsi="Calibri"/>
                <w:b w:val="0"/>
                <w:color w:val="000000"/>
                <w:sz w:val="19"/>
              </w:rPr>
              <w:t>Walmart</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5.0</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3.5</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3.2</w:t>
            </w:r>
          </w:p>
        </w:tc>
        <w:tc>
          <w:tcPr>
            <w:tcW w:type="dxa" w:w="3360"/>
            <w:vAlign w:val="center"/>
            <w:tcMar>
              <w:top w:w="80" w:type="dxa"/>
              <w:start w:w="120" w:type="dxa"/>
              <w:bottom w:w="80" w:type="dxa"/>
              <w:end w:w="120" w:type="dxa"/>
            </w:tcMar>
          </w:tcPr>
          <w:p>
            <w:r>
              <w:rPr>
                <w:rFonts w:ascii="Calibri" w:hAnsi="Calibri"/>
                <w:b w:val="0"/>
                <w:color w:val="000000"/>
                <w:sz w:val="19"/>
              </w:rPr>
              <w:t>Strong turns, moderate receivables</w:t>
            </w:r>
          </w:p>
        </w:tc>
      </w:tr>
      <w:tr>
        <w:tc>
          <w:tcPr>
            <w:tcW w:type="dxa" w:w="2100"/>
            <w:vAlign w:val="center"/>
            <w:tcMar>
              <w:top w:w="80" w:type="dxa"/>
              <w:start w:w="120" w:type="dxa"/>
              <w:bottom w:w="80" w:type="dxa"/>
              <w:end w:w="120" w:type="dxa"/>
            </w:tcMar>
          </w:tcPr>
          <w:p>
            <w:r>
              <w:rPr>
                <w:rFonts w:ascii="Calibri" w:hAnsi="Calibri"/>
                <w:b w:val="0"/>
                <w:color w:val="000000"/>
                <w:sz w:val="19"/>
              </w:rPr>
              <w:t>TJX</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23.6</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23.4</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24.9</w:t>
            </w:r>
          </w:p>
        </w:tc>
        <w:tc>
          <w:tcPr>
            <w:tcW w:type="dxa" w:w="3360"/>
            <w:vAlign w:val="center"/>
            <w:tcMar>
              <w:top w:w="80" w:type="dxa"/>
              <w:start w:w="120" w:type="dxa"/>
              <w:bottom w:w="80" w:type="dxa"/>
              <w:end w:w="120" w:type="dxa"/>
            </w:tcMar>
          </w:tcPr>
          <w:p>
            <w:r>
              <w:rPr>
                <w:rFonts w:ascii="Calibri" w:hAnsi="Calibri"/>
                <w:b w:val="0"/>
                <w:color w:val="000000"/>
                <w:sz w:val="19"/>
              </w:rPr>
              <w:t>Higher DIO and lower DPO</w:t>
            </w:r>
          </w:p>
        </w:tc>
      </w:tr>
      <w:tr>
        <w:tc>
          <w:tcPr>
            <w:tcW w:type="dxa" w:w="2100"/>
            <w:vAlign w:val="center"/>
            <w:tcMar>
              <w:top w:w="80" w:type="dxa"/>
              <w:start w:w="120" w:type="dxa"/>
              <w:bottom w:w="80" w:type="dxa"/>
              <w:end w:w="120" w:type="dxa"/>
            </w:tcMar>
          </w:tcPr>
          <w:p>
            <w:r>
              <w:rPr>
                <w:rFonts w:ascii="Calibri" w:hAnsi="Calibri"/>
                <w:b w:val="0"/>
                <w:color w:val="000000"/>
                <w:sz w:val="19"/>
              </w:rPr>
              <w:t>Dollar General</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46.1</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41.0</w:t>
            </w:r>
          </w:p>
        </w:tc>
        <w:tc>
          <w:tcPr>
            <w:tcW w:type="dxa" w:w="1300"/>
            <w:vAlign w:val="center"/>
            <w:tcMar>
              <w:top w:w="80" w:type="dxa"/>
              <w:start w:w="120" w:type="dxa"/>
              <w:bottom w:w="80" w:type="dxa"/>
              <w:end w:w="120" w:type="dxa"/>
            </w:tcMar>
          </w:tcPr>
          <w:p>
            <w:pPr>
              <w:jc w:val="right"/>
            </w:pPr>
            <w:r>
              <w:rPr>
                <w:rFonts w:ascii="Calibri" w:hAnsi="Calibri"/>
                <w:b w:val="0"/>
                <w:color w:val="000000"/>
                <w:sz w:val="19"/>
              </w:rPr>
              <w:t>32.7</w:t>
            </w:r>
          </w:p>
        </w:tc>
        <w:tc>
          <w:tcPr>
            <w:tcW w:type="dxa" w:w="3360"/>
            <w:vAlign w:val="center"/>
            <w:tcMar>
              <w:top w:w="80" w:type="dxa"/>
              <w:start w:w="120" w:type="dxa"/>
              <w:bottom w:w="80" w:type="dxa"/>
              <w:end w:w="120" w:type="dxa"/>
            </w:tcMar>
          </w:tcPr>
          <w:p>
            <w:r>
              <w:rPr>
                <w:rFonts w:ascii="Calibri" w:hAnsi="Calibri"/>
                <w:b w:val="0"/>
                <w:color w:val="000000"/>
                <w:sz w:val="19"/>
              </w:rPr>
              <w:t>High DIO despite improving trend</w:t>
            </w:r>
          </w:p>
        </w:tc>
      </w:tr>
    </w:tbl>
    <w:p>
      <w:pPr>
        <w:pStyle w:val="Heading1"/>
      </w:pPr>
      <w:r>
        <w:t>Methodology Notes</w:t>
      </w:r>
    </w:p>
    <w:p>
      <w:pPr>
        <w:spacing w:after="120"/>
      </w:pPr>
      <w:r>
        <w:rPr>
          <w:rFonts w:ascii="Calibri" w:hAnsi="Calibri"/>
          <w:b/>
          <w:color w:val="000000"/>
          <w:sz w:val="21"/>
        </w:rPr>
        <w:t xml:space="preserve">Average balances: </w:t>
      </w:r>
      <w:r>
        <w:rPr>
          <w:rFonts w:ascii="Calibri" w:hAnsi="Calibri"/>
          <w:b w:val="0"/>
          <w:color w:val="000000"/>
          <w:sz w:val="21"/>
        </w:rPr>
        <w:t>Average inventory, AR, and AP are calculated with beginning and ending balances using a SQLite LAG() window function; DIO, DSO, and DPO are then calculated from the current year's revenue or COGS.</w:t>
      </w:r>
    </w:p>
    <w:p>
      <w:pPr>
        <w:spacing w:after="120"/>
      </w:pPr>
      <w:r>
        <w:rPr>
          <w:rFonts w:ascii="Calibri" w:hAnsi="Calibri"/>
          <w:b/>
          <w:color w:val="000000"/>
          <w:sz w:val="21"/>
        </w:rPr>
        <w:t xml:space="preserve">Receivables: </w:t>
      </w:r>
      <w:r>
        <w:rPr>
          <w:rFonts w:ascii="Calibri" w:hAnsi="Calibri"/>
          <w:b w:val="0"/>
          <w:color w:val="000000"/>
          <w:sz w:val="21"/>
        </w:rPr>
        <w:t>General-merchandise retailers do not usually invoice customers like industrial or B2B companies. Target is treated as zero/immaterial AR; Walmart, Costco, and TJX use disclosed receivables lines; Dollar General uses disclosed credit/debit card receivables as an immaterial equivalent.</w:t>
      </w:r>
    </w:p>
    <w:p>
      <w:pPr>
        <w:spacing w:after="120"/>
      </w:pPr>
      <w:r>
        <w:rPr>
          <w:rFonts w:ascii="Calibri" w:hAnsi="Calibri"/>
          <w:b/>
          <w:color w:val="000000"/>
          <w:sz w:val="21"/>
        </w:rPr>
        <w:t xml:space="preserve">Fiscal year alignment: </w:t>
      </w:r>
      <w:r>
        <w:rPr>
          <w:rFonts w:ascii="Calibri" w:hAnsi="Calibri"/>
          <w:b w:val="0"/>
          <w:color w:val="000000"/>
          <w:sz w:val="21"/>
        </w:rPr>
        <w:t>Costco's fiscal year ends in late August or early September, so its FY labels are not perfectly aligned to the January/February fiscal calendars used by the other companies.</w:t>
      </w:r>
    </w:p>
    <w:p>
      <w:pPr>
        <w:pStyle w:val="Heading1"/>
      </w:pPr>
      <w:r>
        <w:t>Recommendation</w:t>
      </w:r>
    </w:p>
    <w:p>
      <w:r>
        <w:t>Target should preserve supplier-payment discipline while continuing to reduce inventory days through tighter replenishment, localized assortment controls, and earlier markdown action, because DIO is the operating lever most likely to move CCC without relying on an artificial DSO improvement.</w:t>
      </w:r>
    </w:p>
    <w:p>
      <w:pPr>
        <w:spacing w:before="80" w:after="0"/>
      </w:pPr>
      <w:r>
        <w:rPr>
          <w:rFonts w:ascii="Calibri" w:hAnsi="Calibri"/>
          <w:b w:val="0"/>
          <w:color w:val="555555"/>
          <w:sz w:val="18"/>
        </w:rPr>
        <w:t>Sources: SEC EDGAR Form 10-K filings for Target, Walmart, Costco, TJX, and Dollar General; amounts in $mm.</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