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346" w:rsidRDefault="00720346">
      <w:pPr>
        <w:widowControl w:val="0"/>
        <w:pBdr>
          <w:top w:val="nil"/>
          <w:left w:val="nil"/>
          <w:bottom w:val="nil"/>
          <w:right w:val="nil"/>
          <w:between w:val="nil"/>
        </w:pBdr>
        <w:spacing w:after="0" w:line="276" w:lineRule="auto"/>
      </w:pPr>
    </w:p>
    <w:p w:rsidR="00720346" w:rsidRDefault="00A00F11">
      <w:pPr>
        <w:pStyle w:val="Title"/>
        <w:jc w:val="both"/>
      </w:pPr>
      <w:r>
        <w:t>Quick Guide: Spectral/Calibration Transfer</w:t>
      </w:r>
    </w:p>
    <w:p w:rsidR="00720346" w:rsidRDefault="00A00F11">
      <w:pPr>
        <w:spacing w:after="0" w:line="240" w:lineRule="auto"/>
        <w:jc w:val="both"/>
      </w:pPr>
      <w:r>
        <w:rPr>
          <w:b/>
        </w:rPr>
        <w:t xml:space="preserve">Code: </w:t>
      </w:r>
      <w:r>
        <w:t>PM – 002 / 1</w:t>
      </w:r>
    </w:p>
    <w:p w:rsidR="00720346" w:rsidRDefault="00A00F11">
      <w:pPr>
        <w:spacing w:after="0" w:line="240" w:lineRule="auto"/>
        <w:jc w:val="both"/>
        <w:rPr>
          <w:b/>
        </w:rPr>
      </w:pPr>
      <w:r>
        <w:rPr>
          <w:b/>
        </w:rPr>
        <w:t>Version:</w:t>
      </w:r>
      <w:r>
        <w:t xml:space="preserve"> 2023. v1</w:t>
      </w:r>
    </w:p>
    <w:p w:rsidR="00720346" w:rsidRDefault="00720346">
      <w:pPr>
        <w:jc w:val="both"/>
        <w:rPr>
          <w:b/>
        </w:rPr>
      </w:pPr>
    </w:p>
    <w:p w:rsidR="00720346" w:rsidRDefault="00A00F11">
      <w:pPr>
        <w:jc w:val="both"/>
      </w:pPr>
      <w:r>
        <w:rPr>
          <w:b/>
        </w:rPr>
        <w:t>Related documents</w:t>
      </w:r>
    </w:p>
    <w:p w:rsidR="00720346" w:rsidRDefault="00A00F11">
      <w:pPr>
        <w:jc w:val="both"/>
      </w:pPr>
      <w:r>
        <w:t xml:space="preserve">PM – 001/1 Model development for forages using </w:t>
      </w:r>
      <w:proofErr w:type="spellStart"/>
      <w:r>
        <w:t>NeoSpectra</w:t>
      </w:r>
      <w:proofErr w:type="spellEnd"/>
      <w:r>
        <w:t xml:space="preserve"> Instrument</w:t>
      </w:r>
    </w:p>
    <w:p w:rsidR="00720346" w:rsidRDefault="00A00F11">
      <w:pPr>
        <w:jc w:val="both"/>
      </w:pPr>
      <w:r>
        <w:t>PM – 005/1 Model Transfer – Workflow</w:t>
      </w:r>
    </w:p>
    <w:p w:rsidR="00720346" w:rsidRDefault="00720346">
      <w:pPr>
        <w:jc w:val="both"/>
      </w:pPr>
    </w:p>
    <w:p w:rsidR="00720346" w:rsidRDefault="00A00F11">
      <w:pPr>
        <w:jc w:val="both"/>
        <w:rPr>
          <w:sz w:val="28"/>
          <w:szCs w:val="28"/>
        </w:rPr>
      </w:pPr>
      <w:r>
        <w:rPr>
          <w:sz w:val="28"/>
          <w:szCs w:val="28"/>
        </w:rPr>
        <w:t>Contents</w:t>
      </w:r>
    </w:p>
    <w:sdt>
      <w:sdtPr>
        <w:id w:val="831723366"/>
        <w:docPartObj>
          <w:docPartGallery w:val="Table of Contents"/>
          <w:docPartUnique/>
        </w:docPartObj>
      </w:sdtPr>
      <w:sdtEndPr/>
      <w:sdtContent>
        <w:p w:rsidR="00720346" w:rsidRDefault="00A00F11">
          <w:pPr>
            <w:pBdr>
              <w:top w:val="nil"/>
              <w:left w:val="nil"/>
              <w:bottom w:val="nil"/>
              <w:right w:val="nil"/>
              <w:between w:val="nil"/>
            </w:pBdr>
            <w:tabs>
              <w:tab w:val="right" w:leader="dot" w:pos="9350"/>
            </w:tabs>
            <w:spacing w:after="100"/>
            <w:jc w:val="both"/>
            <w:rPr>
              <w:color w:val="000000"/>
            </w:rPr>
          </w:pPr>
          <w:r>
            <w:fldChar w:fldCharType="begin"/>
          </w:r>
          <w:r>
            <w:instrText xml:space="preserve"> TOC \h \u \z \t "Heading 1,1,Heading 2,2,Heading 3,3,"</w:instrText>
          </w:r>
          <w:r>
            <w:fldChar w:fldCharType="separate"/>
          </w:r>
          <w:hyperlink w:anchor="_heading=h.gjdgxs">
            <w:r>
              <w:rPr>
                <w:b/>
                <w:color w:val="000000"/>
                <w:sz w:val="24"/>
                <w:szCs w:val="24"/>
              </w:rPr>
              <w:t>Introduction</w:t>
            </w:r>
            <w:r>
              <w:rPr>
                <w:b/>
                <w:color w:val="000000"/>
                <w:sz w:val="24"/>
                <w:szCs w:val="24"/>
              </w:rPr>
              <w:tab/>
              <w:t>1</w:t>
            </w:r>
          </w:hyperlink>
        </w:p>
        <w:p w:rsidR="00720346" w:rsidRDefault="006E2593">
          <w:pPr>
            <w:pBdr>
              <w:top w:val="nil"/>
              <w:left w:val="nil"/>
              <w:bottom w:val="nil"/>
              <w:right w:val="nil"/>
              <w:between w:val="nil"/>
            </w:pBdr>
            <w:tabs>
              <w:tab w:val="right" w:leader="dot" w:pos="9350"/>
            </w:tabs>
            <w:spacing w:after="100"/>
            <w:jc w:val="both"/>
            <w:rPr>
              <w:color w:val="000000"/>
            </w:rPr>
          </w:pPr>
          <w:hyperlink w:anchor="_heading=h.30j0zll">
            <w:r w:rsidR="00A00F11">
              <w:rPr>
                <w:b/>
                <w:color w:val="000000"/>
                <w:sz w:val="24"/>
                <w:szCs w:val="24"/>
              </w:rPr>
              <w:t>Glossary</w:t>
            </w:r>
            <w:r w:rsidR="00A00F11">
              <w:rPr>
                <w:b/>
                <w:color w:val="000000"/>
                <w:sz w:val="24"/>
                <w:szCs w:val="24"/>
              </w:rPr>
              <w:tab/>
              <w:t>2</w:t>
            </w:r>
          </w:hyperlink>
        </w:p>
        <w:p w:rsidR="00720346" w:rsidRDefault="006E2593">
          <w:pPr>
            <w:pBdr>
              <w:top w:val="nil"/>
              <w:left w:val="nil"/>
              <w:bottom w:val="nil"/>
              <w:right w:val="nil"/>
              <w:between w:val="nil"/>
            </w:pBdr>
            <w:tabs>
              <w:tab w:val="right" w:leader="dot" w:pos="9350"/>
            </w:tabs>
            <w:spacing w:after="100"/>
            <w:jc w:val="both"/>
            <w:rPr>
              <w:color w:val="000000"/>
            </w:rPr>
          </w:pPr>
          <w:hyperlink w:anchor="_heading=h.1fob9te">
            <w:r w:rsidR="00A00F11">
              <w:rPr>
                <w:b/>
                <w:color w:val="000000"/>
                <w:sz w:val="24"/>
                <w:szCs w:val="24"/>
              </w:rPr>
              <w:t>PREREQUISITES</w:t>
            </w:r>
            <w:r w:rsidR="00A00F11">
              <w:rPr>
                <w:b/>
                <w:color w:val="000000"/>
                <w:sz w:val="24"/>
                <w:szCs w:val="24"/>
              </w:rPr>
              <w:tab/>
              <w:t>2</w:t>
            </w:r>
          </w:hyperlink>
        </w:p>
        <w:p w:rsidR="00720346" w:rsidRDefault="006E2593">
          <w:pPr>
            <w:pBdr>
              <w:top w:val="nil"/>
              <w:left w:val="nil"/>
              <w:bottom w:val="nil"/>
              <w:right w:val="nil"/>
              <w:between w:val="nil"/>
            </w:pBdr>
            <w:tabs>
              <w:tab w:val="right" w:leader="dot" w:pos="9350"/>
            </w:tabs>
            <w:spacing w:after="100"/>
            <w:jc w:val="both"/>
            <w:rPr>
              <w:color w:val="000000"/>
            </w:rPr>
          </w:pPr>
          <w:hyperlink w:anchor="_heading=h.3znysh7">
            <w:r w:rsidR="00A00F11">
              <w:rPr>
                <w:b/>
                <w:color w:val="000000"/>
                <w:sz w:val="24"/>
                <w:szCs w:val="24"/>
              </w:rPr>
              <w:t>SUPPORT</w:t>
            </w:r>
            <w:r w:rsidR="00A00F11">
              <w:rPr>
                <w:b/>
                <w:color w:val="000000"/>
                <w:sz w:val="24"/>
                <w:szCs w:val="24"/>
              </w:rPr>
              <w:tab/>
              <w:t>2</w:t>
            </w:r>
          </w:hyperlink>
        </w:p>
        <w:p w:rsidR="00720346" w:rsidRDefault="006E2593">
          <w:pPr>
            <w:pBdr>
              <w:top w:val="nil"/>
              <w:left w:val="nil"/>
              <w:bottom w:val="nil"/>
              <w:right w:val="nil"/>
              <w:between w:val="nil"/>
            </w:pBdr>
            <w:tabs>
              <w:tab w:val="right" w:leader="dot" w:pos="9350"/>
            </w:tabs>
            <w:spacing w:after="100"/>
            <w:jc w:val="both"/>
            <w:rPr>
              <w:color w:val="000000"/>
            </w:rPr>
          </w:pPr>
          <w:hyperlink w:anchor="_heading=h.2et92p0">
            <w:r w:rsidR="00A00F11">
              <w:rPr>
                <w:b/>
                <w:color w:val="000000"/>
                <w:sz w:val="24"/>
                <w:szCs w:val="24"/>
              </w:rPr>
              <w:t>PROCEDURE</w:t>
            </w:r>
            <w:r w:rsidR="00A00F11">
              <w:rPr>
                <w:b/>
                <w:color w:val="000000"/>
                <w:sz w:val="24"/>
                <w:szCs w:val="24"/>
              </w:rPr>
              <w:tab/>
              <w:t>3</w:t>
            </w:r>
          </w:hyperlink>
        </w:p>
        <w:p w:rsidR="00720346" w:rsidRDefault="006E2593">
          <w:pPr>
            <w:pBdr>
              <w:top w:val="nil"/>
              <w:left w:val="nil"/>
              <w:bottom w:val="nil"/>
              <w:right w:val="nil"/>
              <w:between w:val="nil"/>
            </w:pBdr>
            <w:tabs>
              <w:tab w:val="right" w:leader="dot" w:pos="9350"/>
            </w:tabs>
            <w:spacing w:after="100"/>
            <w:ind w:left="220"/>
            <w:jc w:val="both"/>
            <w:rPr>
              <w:color w:val="000000"/>
            </w:rPr>
          </w:pPr>
          <w:hyperlink w:anchor="_heading=h.tyjcwt">
            <w:r w:rsidR="00A00F11">
              <w:rPr>
                <w:color w:val="000000"/>
              </w:rPr>
              <w:t>SAMPLE PREPARATION AND COLLECTION OF TRANSFER SAMPLES</w:t>
            </w:r>
            <w:r w:rsidR="00A00F11">
              <w:rPr>
                <w:color w:val="000000"/>
              </w:rPr>
              <w:tab/>
              <w:t>3</w:t>
            </w:r>
          </w:hyperlink>
        </w:p>
        <w:p w:rsidR="00720346" w:rsidRDefault="006E2593">
          <w:pPr>
            <w:pBdr>
              <w:top w:val="nil"/>
              <w:left w:val="nil"/>
              <w:bottom w:val="nil"/>
              <w:right w:val="nil"/>
              <w:between w:val="nil"/>
            </w:pBdr>
            <w:tabs>
              <w:tab w:val="right" w:leader="dot" w:pos="9350"/>
            </w:tabs>
            <w:spacing w:after="100"/>
            <w:ind w:left="220"/>
            <w:jc w:val="both"/>
            <w:rPr>
              <w:color w:val="000000"/>
            </w:rPr>
          </w:pPr>
          <w:hyperlink w:anchor="_heading=h.3dy6vkm">
            <w:r w:rsidR="00A00F11">
              <w:rPr>
                <w:color w:val="000000"/>
              </w:rPr>
              <w:t>PREPAR</w:t>
            </w:r>
          </w:hyperlink>
          <w:hyperlink w:anchor="_heading=h.3dy6vkm">
            <w:r w:rsidR="00A00F11">
              <w:t>ING</w:t>
            </w:r>
          </w:hyperlink>
          <w:hyperlink w:anchor="_heading=h.3dy6vkm">
            <w:r w:rsidR="00A00F11">
              <w:rPr>
                <w:color w:val="000000"/>
              </w:rPr>
              <w:t xml:space="preserve"> THE SPECTRAL </w:t>
            </w:r>
          </w:hyperlink>
          <w:hyperlink w:anchor="_heading=h.3dy6vkm">
            <w:r w:rsidR="00A00F11">
              <w:t>DATABASE</w:t>
            </w:r>
          </w:hyperlink>
          <w:hyperlink w:anchor="_heading=h.3dy6vkm">
            <w:r w:rsidR="00A00F11">
              <w:rPr>
                <w:color w:val="000000"/>
              </w:rPr>
              <w:tab/>
              <w:t>3</w:t>
            </w:r>
          </w:hyperlink>
        </w:p>
        <w:p w:rsidR="00720346" w:rsidRDefault="006E2593">
          <w:pPr>
            <w:pBdr>
              <w:top w:val="nil"/>
              <w:left w:val="nil"/>
              <w:bottom w:val="nil"/>
              <w:right w:val="nil"/>
              <w:between w:val="nil"/>
            </w:pBdr>
            <w:tabs>
              <w:tab w:val="right" w:leader="dot" w:pos="9350"/>
            </w:tabs>
            <w:spacing w:after="100"/>
            <w:ind w:left="220"/>
            <w:jc w:val="both"/>
            <w:rPr>
              <w:color w:val="000000"/>
            </w:rPr>
          </w:pPr>
          <w:hyperlink w:anchor="_heading=h.1t3h5sf">
            <w:r w:rsidR="00A00F11">
              <w:rPr>
                <w:color w:val="000000"/>
              </w:rPr>
              <w:t>CREATING THE TRANSFER METHOD/FUNCTION</w:t>
            </w:r>
            <w:r w:rsidR="00A00F11">
              <w:rPr>
                <w:color w:val="000000"/>
              </w:rPr>
              <w:tab/>
              <w:t>3</w:t>
            </w:r>
          </w:hyperlink>
        </w:p>
        <w:p w:rsidR="00720346" w:rsidRDefault="006E2593">
          <w:pPr>
            <w:pBdr>
              <w:top w:val="nil"/>
              <w:left w:val="nil"/>
              <w:bottom w:val="nil"/>
              <w:right w:val="nil"/>
              <w:between w:val="nil"/>
            </w:pBdr>
            <w:tabs>
              <w:tab w:val="right" w:leader="dot" w:pos="9350"/>
            </w:tabs>
            <w:spacing w:after="100"/>
            <w:ind w:left="220"/>
            <w:jc w:val="both"/>
            <w:rPr>
              <w:color w:val="000000"/>
            </w:rPr>
          </w:pPr>
          <w:hyperlink w:anchor="_heading=h.3rdcrjn">
            <w:r w:rsidR="00A00F11">
              <w:rPr>
                <w:color w:val="000000"/>
              </w:rPr>
              <w:t>PREPARING THE DATA (SOLO+Exporter)</w:t>
            </w:r>
            <w:r w:rsidR="00A00F11">
              <w:rPr>
                <w:color w:val="000000"/>
              </w:rPr>
              <w:tab/>
              <w:t>3</w:t>
            </w:r>
          </w:hyperlink>
        </w:p>
        <w:p w:rsidR="00720346" w:rsidRDefault="006E2593">
          <w:pPr>
            <w:pBdr>
              <w:top w:val="nil"/>
              <w:left w:val="nil"/>
              <w:bottom w:val="nil"/>
              <w:right w:val="nil"/>
              <w:between w:val="nil"/>
            </w:pBdr>
            <w:tabs>
              <w:tab w:val="right" w:leader="dot" w:pos="9350"/>
            </w:tabs>
            <w:spacing w:after="100"/>
            <w:ind w:left="220"/>
            <w:jc w:val="both"/>
            <w:rPr>
              <w:color w:val="000000"/>
            </w:rPr>
          </w:pPr>
          <w:hyperlink w:anchor="_heading=h.26in1rg">
            <w:r w:rsidR="00A00F11">
              <w:rPr>
                <w:color w:val="000000"/>
              </w:rPr>
              <w:t>Average spectra?</w:t>
            </w:r>
            <w:r w:rsidR="00A00F11">
              <w:rPr>
                <w:color w:val="000000"/>
              </w:rPr>
              <w:tab/>
              <w:t>4</w:t>
            </w:r>
          </w:hyperlink>
        </w:p>
        <w:p w:rsidR="00720346" w:rsidRDefault="006E2593">
          <w:pPr>
            <w:pBdr>
              <w:top w:val="nil"/>
              <w:left w:val="nil"/>
              <w:bottom w:val="nil"/>
              <w:right w:val="nil"/>
              <w:between w:val="nil"/>
            </w:pBdr>
            <w:tabs>
              <w:tab w:val="right" w:leader="dot" w:pos="9350"/>
            </w:tabs>
            <w:spacing w:after="100"/>
            <w:ind w:left="220"/>
            <w:jc w:val="both"/>
            <w:rPr>
              <w:color w:val="000000"/>
            </w:rPr>
          </w:pPr>
          <w:hyperlink w:anchor="_heading=h.lnxbz9">
            <w:r w:rsidR="00A00F11">
              <w:rPr>
                <w:color w:val="000000"/>
              </w:rPr>
              <w:t>CREATING THE TRANSFER METHOD/FUNCTION</w:t>
            </w:r>
            <w:r w:rsidR="00A00F11">
              <w:rPr>
                <w:color w:val="000000"/>
              </w:rPr>
              <w:tab/>
              <w:t>5</w:t>
            </w:r>
          </w:hyperlink>
        </w:p>
        <w:p w:rsidR="00720346" w:rsidRDefault="006E2593">
          <w:pPr>
            <w:pBdr>
              <w:top w:val="nil"/>
              <w:left w:val="nil"/>
              <w:bottom w:val="nil"/>
              <w:right w:val="nil"/>
              <w:between w:val="nil"/>
            </w:pBdr>
            <w:tabs>
              <w:tab w:val="right" w:leader="dot" w:pos="9350"/>
            </w:tabs>
            <w:spacing w:after="100"/>
            <w:ind w:left="220"/>
            <w:jc w:val="both"/>
            <w:rPr>
              <w:color w:val="000000"/>
            </w:rPr>
          </w:pPr>
          <w:hyperlink w:anchor="_heading=h.35nkun2">
            <w:r w:rsidR="00A00F11">
              <w:rPr>
                <w:color w:val="000000"/>
              </w:rPr>
              <w:t>SAVING THE TRANSFER METHOD</w:t>
            </w:r>
            <w:r w:rsidR="00A00F11">
              <w:rPr>
                <w:color w:val="000000"/>
              </w:rPr>
              <w:tab/>
              <w:t>12</w:t>
            </w:r>
          </w:hyperlink>
        </w:p>
        <w:p w:rsidR="00720346" w:rsidRDefault="006E2593">
          <w:pPr>
            <w:pBdr>
              <w:top w:val="nil"/>
              <w:left w:val="nil"/>
              <w:bottom w:val="nil"/>
              <w:right w:val="nil"/>
              <w:between w:val="nil"/>
            </w:pBdr>
            <w:tabs>
              <w:tab w:val="right" w:leader="dot" w:pos="9350"/>
            </w:tabs>
            <w:spacing w:after="100"/>
            <w:ind w:left="220"/>
            <w:jc w:val="both"/>
            <w:rPr>
              <w:color w:val="000000"/>
            </w:rPr>
          </w:pPr>
          <w:hyperlink w:anchor="_heading=h.1ksv4uv">
            <w:r w:rsidR="00A00F11">
              <w:rPr>
                <w:color w:val="000000"/>
              </w:rPr>
              <w:t>USING A TRANSFER METHOD/FUNCTION</w:t>
            </w:r>
            <w:r w:rsidR="00A00F11">
              <w:rPr>
                <w:color w:val="000000"/>
              </w:rPr>
              <w:tab/>
              <w:t>13</w:t>
            </w:r>
          </w:hyperlink>
        </w:p>
        <w:p w:rsidR="00720346" w:rsidRDefault="00A00F11">
          <w:pPr>
            <w:jc w:val="both"/>
            <w:rPr>
              <w:b/>
            </w:rPr>
          </w:pPr>
          <w:r>
            <w:fldChar w:fldCharType="end"/>
          </w:r>
        </w:p>
      </w:sdtContent>
    </w:sdt>
    <w:p w:rsidR="00720346" w:rsidRDefault="00A00F11">
      <w:pPr>
        <w:pStyle w:val="Heading1"/>
        <w:jc w:val="both"/>
      </w:pPr>
      <w:bookmarkStart w:id="0" w:name="_heading=h.gjdgxs" w:colFirst="0" w:colLast="0"/>
      <w:bookmarkEnd w:id="0"/>
      <w:r>
        <w:t>Introduction</w:t>
      </w:r>
    </w:p>
    <w:p w:rsidR="00720346" w:rsidRDefault="00A00F11">
      <w:pPr>
        <w:jc w:val="both"/>
      </w:pPr>
      <w:r>
        <w:t xml:space="preserve">This SOP will guide you through the process of creating a transfer method that can be used to adapt the spectra from other manufacturers' instruments to those collected using Si-Ware spectrometers. The instrumentation used to collect the spectra can be of any design (FT-based or </w:t>
      </w:r>
      <w:proofErr w:type="spellStart"/>
      <w:r>
        <w:t>Monochromator</w:t>
      </w:r>
      <w:proofErr w:type="spellEnd"/>
      <w:r>
        <w:t>/Dispersive based) that includes a shared wavelength region with native Si-Ware/</w:t>
      </w:r>
      <w:proofErr w:type="spellStart"/>
      <w:r>
        <w:t>Neospectra</w:t>
      </w:r>
      <w:proofErr w:type="spellEnd"/>
      <w:r>
        <w:t xml:space="preserve"> data. In this document, we will refer to the</w:t>
      </w:r>
      <w:r>
        <w:rPr>
          <w:b/>
        </w:rPr>
        <w:t xml:space="preserve"> Si-Ware instrument as Instrument 1</w:t>
      </w:r>
      <w:r>
        <w:rPr>
          <w:b/>
          <w:i/>
        </w:rPr>
        <w:t xml:space="preserve"> </w:t>
      </w:r>
      <w:r>
        <w:rPr>
          <w:i/>
        </w:rPr>
        <w:t xml:space="preserve">(as denoted in Eigenvector Solo software) </w:t>
      </w:r>
      <w:r>
        <w:t>and the other instrument on which we wish to apply the transfer function as Instrument 2</w:t>
      </w:r>
    </w:p>
    <w:p w:rsidR="00720346" w:rsidRDefault="00A00F11">
      <w:pPr>
        <w:pStyle w:val="Heading1"/>
        <w:jc w:val="both"/>
      </w:pPr>
      <w:bookmarkStart w:id="1" w:name="_heading=h.30j0zll" w:colFirst="0" w:colLast="0"/>
      <w:bookmarkEnd w:id="1"/>
      <w:r>
        <w:lastRenderedPageBreak/>
        <w:t xml:space="preserve">Glossary </w:t>
      </w:r>
    </w:p>
    <w:p w:rsidR="00720346" w:rsidRDefault="00A00F11">
      <w:pPr>
        <w:jc w:val="both"/>
      </w:pPr>
      <w:proofErr w:type="spellStart"/>
      <w:r>
        <w:rPr>
          <w:i/>
        </w:rPr>
        <w:t>Labstore</w:t>
      </w:r>
      <w:proofErr w:type="spellEnd"/>
      <w:r>
        <w:rPr>
          <w:i/>
        </w:rPr>
        <w:t>:</w:t>
      </w:r>
      <w:r>
        <w:t xml:space="preserve"> Website where the models can be commercialized like a marketplace.</w:t>
      </w:r>
    </w:p>
    <w:p w:rsidR="00720346" w:rsidRDefault="00A00F11">
      <w:pPr>
        <w:jc w:val="both"/>
      </w:pPr>
      <w:r>
        <w:rPr>
          <w:i/>
        </w:rPr>
        <w:t>Portal:</w:t>
      </w:r>
      <w:r>
        <w:t xml:space="preserve"> Cloud based website where samples, models, </w:t>
      </w:r>
      <w:proofErr w:type="gramStart"/>
      <w:r>
        <w:t>user,..</w:t>
      </w:r>
      <w:proofErr w:type="gramEnd"/>
      <w:r>
        <w:t xml:space="preserve"> </w:t>
      </w:r>
      <w:proofErr w:type="gramStart"/>
      <w:r>
        <w:t>are</w:t>
      </w:r>
      <w:proofErr w:type="gramEnd"/>
      <w:r>
        <w:t xml:space="preserve"> managed by Si-Ware’s accounts. Portal gives </w:t>
      </w:r>
      <w:sdt>
        <w:sdtPr>
          <w:tag w:val="goog_rdk_0"/>
          <w:id w:val="-550686573"/>
        </w:sdtPr>
        <w:sdtEndPr/>
        <w:sdtContent>
          <w:bookmarkStart w:id="2" w:name="_GoBack"/>
          <w:bookmarkEnd w:id="2"/>
        </w:sdtContent>
      </w:sdt>
      <w:r>
        <w:t xml:space="preserve">access to the </w:t>
      </w:r>
      <w:proofErr w:type="spellStart"/>
      <w:r>
        <w:t>Labstore</w:t>
      </w:r>
      <w:proofErr w:type="spellEnd"/>
      <w:r>
        <w:t xml:space="preserve"> and all the data and information generated from the </w:t>
      </w:r>
      <w:proofErr w:type="spellStart"/>
      <w:r>
        <w:t>NeoSpectra</w:t>
      </w:r>
      <w:proofErr w:type="spellEnd"/>
      <w:r>
        <w:t xml:space="preserve"> instruments.</w:t>
      </w:r>
    </w:p>
    <w:p w:rsidR="00720346" w:rsidRDefault="00A00F11">
      <w:pPr>
        <w:jc w:val="both"/>
      </w:pPr>
      <w:r>
        <w:rPr>
          <w:i/>
        </w:rPr>
        <w:t>Instrument:</w:t>
      </w:r>
      <w:r>
        <w:t xml:space="preserve"> It is the spectrometer; it can also be </w:t>
      </w:r>
      <w:sdt>
        <w:sdtPr>
          <w:tag w:val="goog_rdk_1"/>
          <w:id w:val="-739482927"/>
        </w:sdtPr>
        <w:sdtEndPr/>
        <w:sdtContent>
          <w:r>
            <w:t xml:space="preserve">referred to </w:t>
          </w:r>
        </w:sdtContent>
      </w:sdt>
      <w:sdt>
        <w:sdtPr>
          <w:tag w:val="goog_rdk_2"/>
          <w:id w:val="1061912684"/>
          <w:showingPlcHdr/>
        </w:sdtPr>
        <w:sdtEndPr/>
        <w:sdtContent>
          <w:r w:rsidR="003E42A8">
            <w:t xml:space="preserve">     </w:t>
          </w:r>
        </w:sdtContent>
      </w:sdt>
      <w:r>
        <w:t xml:space="preserve"> as </w:t>
      </w:r>
      <w:sdt>
        <w:sdtPr>
          <w:tag w:val="goog_rdk_3"/>
          <w:id w:val="309372312"/>
        </w:sdtPr>
        <w:sdtEndPr/>
        <w:sdtContent>
          <w:r>
            <w:t xml:space="preserve">the </w:t>
          </w:r>
        </w:sdtContent>
      </w:sdt>
      <w:r>
        <w:t>unit or scanner. It is the hardware used to collect NIR spectra.</w:t>
      </w:r>
    </w:p>
    <w:p w:rsidR="00720346" w:rsidRDefault="00A00F11">
      <w:pPr>
        <w:jc w:val="both"/>
      </w:pPr>
      <w:r>
        <w:rPr>
          <w:i/>
        </w:rPr>
        <w:t>Model:</w:t>
      </w:r>
      <w:r>
        <w:t xml:space="preserve"> It is the mathematical algorithm used to correlate some data to a parameter or to spectra. </w:t>
      </w:r>
    </w:p>
    <w:p w:rsidR="00720346" w:rsidRDefault="00A00F11">
      <w:pPr>
        <w:jc w:val="both"/>
      </w:pPr>
      <w:r>
        <w:rPr>
          <w:i/>
        </w:rPr>
        <w:t>Samples:</w:t>
      </w:r>
      <w:r>
        <w:t xml:space="preserve"> The</w:t>
      </w:r>
      <w:sdt>
        <w:sdtPr>
          <w:tag w:val="goog_rdk_4"/>
          <w:id w:val="403493329"/>
        </w:sdtPr>
        <w:sdtEndPr/>
        <w:sdtContent>
          <w:r>
            <w:t>se</w:t>
          </w:r>
        </w:sdtContent>
      </w:sdt>
      <w:sdt>
        <w:sdtPr>
          <w:tag w:val="goog_rdk_5"/>
          <w:id w:val="-1628231807"/>
          <w:showingPlcHdr/>
        </w:sdtPr>
        <w:sdtEndPr/>
        <w:sdtContent>
          <w:r w:rsidR="003E42A8">
            <w:t xml:space="preserve">     </w:t>
          </w:r>
        </w:sdtContent>
      </w:sdt>
      <w:r>
        <w:t xml:space="preserve"> are the element</w:t>
      </w:r>
      <w:sdt>
        <w:sdtPr>
          <w:tag w:val="goog_rdk_6"/>
          <w:id w:val="-692765542"/>
        </w:sdtPr>
        <w:sdtEndPr/>
        <w:sdtContent>
          <w:r>
            <w:t>s</w:t>
          </w:r>
        </w:sdtContent>
      </w:sdt>
      <w:r>
        <w:t xml:space="preserve"> of the observation</w:t>
      </w:r>
      <w:sdt>
        <w:sdtPr>
          <w:tag w:val="goog_rdk_7"/>
          <w:id w:val="1077635385"/>
          <w:showingPlcHdr/>
        </w:sdtPr>
        <w:sdtEndPr/>
        <w:sdtContent>
          <w:r w:rsidR="003E42A8">
            <w:t xml:space="preserve">     </w:t>
          </w:r>
        </w:sdtContent>
      </w:sdt>
      <w:r>
        <w:t xml:space="preserve"> that are used to develop models. Samples are related to the matrix/product/material that is analyzed by the Scanner and it is </w:t>
      </w:r>
      <w:sdt>
        <w:sdtPr>
          <w:tag w:val="goog_rdk_8"/>
          <w:id w:val="176171984"/>
        </w:sdtPr>
        <w:sdtEndPr/>
        <w:sdtContent>
          <w:r>
            <w:t>intended</w:t>
          </w:r>
        </w:sdtContent>
      </w:sdt>
      <w:sdt>
        <w:sdtPr>
          <w:tag w:val="goog_rdk_9"/>
          <w:id w:val="511571530"/>
          <w:showingPlcHdr/>
        </w:sdtPr>
        <w:sdtEndPr/>
        <w:sdtContent>
          <w:r w:rsidR="003E42A8">
            <w:t xml:space="preserve">     </w:t>
          </w:r>
        </w:sdtContent>
      </w:sdt>
      <w:r>
        <w:t xml:space="preserve"> to obtain information by using models.</w:t>
      </w:r>
    </w:p>
    <w:p w:rsidR="00720346" w:rsidRDefault="00A00F11">
      <w:pPr>
        <w:jc w:val="both"/>
      </w:pPr>
      <w:r>
        <w:rPr>
          <w:i/>
        </w:rPr>
        <w:t>Calibration:</w:t>
      </w:r>
      <w:r>
        <w:t xml:space="preserve"> it is the part of the process where the model is developed and trained. It is related to calibration samples, model calibration</w:t>
      </w:r>
      <w:proofErr w:type="gramStart"/>
      <w:r>
        <w:t>,…</w:t>
      </w:r>
      <w:proofErr w:type="gramEnd"/>
      <w:r>
        <w:t xml:space="preserve">  </w:t>
      </w:r>
    </w:p>
    <w:p w:rsidR="00720346" w:rsidRDefault="00A00F11">
      <w:pPr>
        <w:pStyle w:val="Heading1"/>
        <w:jc w:val="both"/>
      </w:pPr>
      <w:bookmarkStart w:id="3" w:name="_heading=h.1fob9te" w:colFirst="0" w:colLast="0"/>
      <w:bookmarkEnd w:id="3"/>
      <w:r>
        <w:t xml:space="preserve">PREREQUISITES </w:t>
      </w:r>
    </w:p>
    <w:p w:rsidR="00720346" w:rsidRDefault="00A00F11">
      <w:pPr>
        <w:numPr>
          <w:ilvl w:val="0"/>
          <w:numId w:val="1"/>
        </w:numPr>
        <w:pBdr>
          <w:top w:val="nil"/>
          <w:left w:val="nil"/>
          <w:bottom w:val="nil"/>
          <w:right w:val="nil"/>
          <w:between w:val="nil"/>
        </w:pBdr>
        <w:spacing w:after="0"/>
        <w:jc w:val="both"/>
        <w:rPr>
          <w:color w:val="000000"/>
          <w:sz w:val="24"/>
          <w:szCs w:val="24"/>
        </w:rPr>
      </w:pPr>
      <w:r>
        <w:rPr>
          <w:color w:val="000000"/>
          <w:sz w:val="24"/>
          <w:szCs w:val="24"/>
        </w:rPr>
        <w:t>Each sample type</w:t>
      </w:r>
      <w:r w:rsidR="00FB144A">
        <w:rPr>
          <w:color w:val="000000"/>
          <w:sz w:val="24"/>
          <w:szCs w:val="24"/>
        </w:rPr>
        <w:t xml:space="preserve"> (material)</w:t>
      </w:r>
      <w:r>
        <w:rPr>
          <w:color w:val="000000"/>
          <w:sz w:val="24"/>
          <w:szCs w:val="24"/>
        </w:rPr>
        <w:t xml:space="preserve"> requires its own transfer model/function (it may be possible for multiple materials which have very similar spectra/properties).</w:t>
      </w:r>
    </w:p>
    <w:p w:rsidR="00720346" w:rsidRDefault="00A00F11">
      <w:pPr>
        <w:numPr>
          <w:ilvl w:val="0"/>
          <w:numId w:val="1"/>
        </w:numPr>
        <w:pBdr>
          <w:top w:val="nil"/>
          <w:left w:val="nil"/>
          <w:bottom w:val="nil"/>
          <w:right w:val="nil"/>
          <w:between w:val="nil"/>
        </w:pBdr>
        <w:spacing w:after="0"/>
        <w:jc w:val="both"/>
        <w:rPr>
          <w:color w:val="000000"/>
          <w:sz w:val="24"/>
          <w:szCs w:val="24"/>
        </w:rPr>
      </w:pPr>
      <w:r>
        <w:rPr>
          <w:color w:val="000000"/>
          <w:sz w:val="24"/>
          <w:szCs w:val="24"/>
        </w:rPr>
        <w:t xml:space="preserve">Samples must be scanned on both instruments on the same day. </w:t>
      </w:r>
      <w:r>
        <w:rPr>
          <w:color w:val="222222"/>
          <w:sz w:val="24"/>
          <w:szCs w:val="24"/>
        </w:rPr>
        <w:t xml:space="preserve">Transfer samples for instrument 2 should be measured using the same setting that the calibration samples were measured. Instrument 1 measurements should be done as it is wished to measure using </w:t>
      </w:r>
      <w:proofErr w:type="spellStart"/>
      <w:r>
        <w:rPr>
          <w:color w:val="222222"/>
          <w:sz w:val="24"/>
          <w:szCs w:val="24"/>
        </w:rPr>
        <w:t>NeoSpectra</w:t>
      </w:r>
      <w:proofErr w:type="spellEnd"/>
      <w:r>
        <w:rPr>
          <w:color w:val="222222"/>
          <w:sz w:val="24"/>
          <w:szCs w:val="24"/>
        </w:rPr>
        <w:t xml:space="preserve"> devices </w:t>
      </w:r>
      <w:r>
        <w:rPr>
          <w:color w:val="000000"/>
          <w:sz w:val="24"/>
          <w:szCs w:val="24"/>
        </w:rPr>
        <w:t>under the same operating conditions.</w:t>
      </w:r>
    </w:p>
    <w:p w:rsidR="00720346" w:rsidRDefault="00A00F11">
      <w:pPr>
        <w:numPr>
          <w:ilvl w:val="0"/>
          <w:numId w:val="1"/>
        </w:numPr>
        <w:pBdr>
          <w:top w:val="nil"/>
          <w:left w:val="nil"/>
          <w:bottom w:val="nil"/>
          <w:right w:val="nil"/>
          <w:between w:val="nil"/>
        </w:pBdr>
        <w:spacing w:after="0"/>
        <w:jc w:val="both"/>
        <w:rPr>
          <w:color w:val="000000"/>
          <w:sz w:val="24"/>
          <w:szCs w:val="24"/>
        </w:rPr>
      </w:pPr>
      <w:r>
        <w:rPr>
          <w:color w:val="000000"/>
          <w:sz w:val="24"/>
          <w:szCs w:val="24"/>
        </w:rPr>
        <w:t>The Sample sets used for the transfer should ideally encompass all possible variations in the calibration sample set. (i.e., concentrations of main components over the calibration ranges of each calibration).</w:t>
      </w:r>
    </w:p>
    <w:p w:rsidR="00720346" w:rsidRDefault="00A00F11">
      <w:pPr>
        <w:numPr>
          <w:ilvl w:val="0"/>
          <w:numId w:val="1"/>
        </w:numPr>
        <w:pBdr>
          <w:top w:val="nil"/>
          <w:left w:val="nil"/>
          <w:bottom w:val="nil"/>
          <w:right w:val="nil"/>
          <w:between w:val="nil"/>
        </w:pBdr>
        <w:jc w:val="both"/>
        <w:rPr>
          <w:color w:val="000000"/>
          <w:sz w:val="24"/>
          <w:szCs w:val="24"/>
        </w:rPr>
      </w:pPr>
      <w:r>
        <w:rPr>
          <w:color w:val="000000"/>
          <w:sz w:val="24"/>
          <w:szCs w:val="24"/>
        </w:rPr>
        <w:t>Sample set upon which to apply the transfer function.</w:t>
      </w:r>
    </w:p>
    <w:p w:rsidR="00720346" w:rsidRDefault="00720346">
      <w:pPr>
        <w:jc w:val="both"/>
        <w:rPr>
          <w:sz w:val="24"/>
          <w:szCs w:val="24"/>
        </w:rPr>
      </w:pPr>
    </w:p>
    <w:p w:rsidR="00720346" w:rsidRDefault="00A00F11">
      <w:pPr>
        <w:pStyle w:val="Heading1"/>
        <w:jc w:val="both"/>
      </w:pPr>
      <w:bookmarkStart w:id="4" w:name="_heading=h.3znysh7" w:colFirst="0" w:colLast="0"/>
      <w:bookmarkEnd w:id="4"/>
      <w:r>
        <w:t>SUPPORT</w:t>
      </w:r>
    </w:p>
    <w:p w:rsidR="00720346" w:rsidRDefault="00A00F11">
      <w:pPr>
        <w:jc w:val="both"/>
        <w:rPr>
          <w:sz w:val="24"/>
          <w:szCs w:val="24"/>
        </w:rPr>
      </w:pPr>
      <w:r>
        <w:rPr>
          <w:sz w:val="24"/>
          <w:szCs w:val="24"/>
        </w:rPr>
        <w:t xml:space="preserve">If any assistance is needed or if you have any questions regarding the use of this procedure, please contact one </w:t>
      </w:r>
      <w:sdt>
        <w:sdtPr>
          <w:tag w:val="goog_rdk_10"/>
          <w:id w:val="-224999882"/>
        </w:sdtPr>
        <w:sdtEndPr/>
        <w:sdtContent>
          <w:r>
            <w:rPr>
              <w:sz w:val="24"/>
              <w:szCs w:val="24"/>
            </w:rPr>
            <w:t>the applications team at</w:t>
          </w:r>
          <w:r w:rsidR="00FB144A">
            <w:rPr>
              <w:sz w:val="24"/>
              <w:szCs w:val="24"/>
            </w:rPr>
            <w:t xml:space="preserve"> </w:t>
          </w:r>
          <w:hyperlink r:id="rId8" w:history="1">
            <w:r w:rsidR="00FB144A" w:rsidRPr="00EB6500">
              <w:rPr>
                <w:rStyle w:val="Hyperlink"/>
                <w:sz w:val="24"/>
                <w:szCs w:val="24"/>
              </w:rPr>
              <w:t>modeling@si-ware.com</w:t>
            </w:r>
          </w:hyperlink>
          <w:r>
            <w:rPr>
              <w:sz w:val="24"/>
              <w:szCs w:val="24"/>
            </w:rPr>
            <w:t xml:space="preserve"> </w:t>
          </w:r>
        </w:sdtContent>
      </w:sdt>
    </w:p>
    <w:p w:rsidR="00720346" w:rsidRDefault="00A00F11">
      <w:pPr>
        <w:pStyle w:val="Heading1"/>
        <w:jc w:val="both"/>
      </w:pPr>
      <w:bookmarkStart w:id="5" w:name="_heading=h.2et92p0" w:colFirst="0" w:colLast="0"/>
      <w:bookmarkEnd w:id="5"/>
      <w:r>
        <w:t>PROCEDURE</w:t>
      </w:r>
    </w:p>
    <w:p w:rsidR="00720346" w:rsidRDefault="00A00F11">
      <w:pPr>
        <w:jc w:val="both"/>
        <w:rPr>
          <w:sz w:val="24"/>
          <w:szCs w:val="24"/>
        </w:rPr>
      </w:pPr>
      <w:r>
        <w:rPr>
          <w:sz w:val="24"/>
          <w:szCs w:val="24"/>
        </w:rPr>
        <w:t xml:space="preserve">The procedure is broken down into 3 parts: Sample preparation and collection of transfer samples; creating the transfer method/function; applying the transfer function to a spectral data set. </w:t>
      </w:r>
    </w:p>
    <w:p w:rsidR="00720346" w:rsidRDefault="00A00F11">
      <w:pPr>
        <w:pStyle w:val="Heading2"/>
        <w:jc w:val="both"/>
      </w:pPr>
      <w:bookmarkStart w:id="6" w:name="_heading=h.tyjcwt" w:colFirst="0" w:colLast="0"/>
      <w:bookmarkEnd w:id="6"/>
      <w:r>
        <w:t>SAMPLE PREPARATION AND COLLECTION OF TRANSFER SAMPLES</w:t>
      </w:r>
    </w:p>
    <w:p w:rsidR="00720346" w:rsidRDefault="00A00F11">
      <w:pPr>
        <w:jc w:val="both"/>
        <w:rPr>
          <w:sz w:val="24"/>
          <w:szCs w:val="24"/>
        </w:rPr>
      </w:pPr>
      <w:r>
        <w:rPr>
          <w:b/>
          <w:sz w:val="24"/>
          <w:szCs w:val="24"/>
        </w:rPr>
        <w:t>15 to 20 samples that cover the complete range of all components (</w:t>
      </w:r>
      <w:r>
        <w:rPr>
          <w:sz w:val="24"/>
          <w:szCs w:val="24"/>
        </w:rPr>
        <w:t xml:space="preserve">i.e., fat, moisture, protein) to be analyzed will be needed to create the transfer function. </w:t>
      </w:r>
      <w:r>
        <w:rPr>
          <w:b/>
          <w:sz w:val="24"/>
          <w:szCs w:val="24"/>
        </w:rPr>
        <w:t xml:space="preserve"> It is essential to measure the same </w:t>
      </w:r>
      <w:r>
        <w:rPr>
          <w:b/>
          <w:sz w:val="24"/>
          <w:szCs w:val="24"/>
        </w:rPr>
        <w:lastRenderedPageBreak/>
        <w:t>transfer samples on both instruments on the same day.</w:t>
      </w:r>
      <w:r>
        <w:rPr>
          <w:sz w:val="24"/>
          <w:szCs w:val="24"/>
        </w:rPr>
        <w:t xml:space="preserve"> </w:t>
      </w:r>
      <w:r>
        <w:rPr>
          <w:sz w:val="24"/>
          <w:szCs w:val="24"/>
          <w:highlight w:val="white"/>
        </w:rPr>
        <w:t>Ideally, all samples should be measured at the same time and in the same location with both instruments in a manner that reflects the original sampling protocol in order to prevent altering the presentation or sample condition when transferring samples.</w:t>
      </w:r>
      <w:r>
        <w:rPr>
          <w:sz w:val="24"/>
          <w:szCs w:val="24"/>
        </w:rPr>
        <w:t xml:space="preserve"> This will help to ensure that any outside factors are eliminated and only the spectral differences of the spectrometers are being compared.  Additionally, when collecting samples, the samples should be named and numbered identically, so it is easy to match up and </w:t>
      </w:r>
      <w:sdt>
        <w:sdtPr>
          <w:tag w:val="goog_rdk_15"/>
          <w:id w:val="-918787068"/>
          <w:showingPlcHdr/>
        </w:sdtPr>
        <w:sdtEndPr/>
        <w:sdtContent>
          <w:r w:rsidR="003E42A8">
            <w:t xml:space="preserve">     </w:t>
          </w:r>
        </w:sdtContent>
      </w:sdt>
      <w:r>
        <w:rPr>
          <w:sz w:val="24"/>
          <w:szCs w:val="24"/>
        </w:rPr>
        <w:t xml:space="preserve"> be imported in the same order when creating the transfer function.</w:t>
      </w:r>
    </w:p>
    <w:p w:rsidR="00720346" w:rsidRDefault="00A00F11">
      <w:pPr>
        <w:pStyle w:val="Heading2"/>
        <w:jc w:val="both"/>
      </w:pPr>
      <w:bookmarkStart w:id="7" w:name="_heading=h.3dy6vkm" w:colFirst="0" w:colLast="0"/>
      <w:bookmarkEnd w:id="7"/>
      <w:r>
        <w:t xml:space="preserve">PREPARE THE SPECTRAL DATA BASE </w:t>
      </w:r>
    </w:p>
    <w:p w:rsidR="00720346" w:rsidRDefault="00A00F11">
      <w:pPr>
        <w:jc w:val="both"/>
        <w:rPr>
          <w:sz w:val="24"/>
          <w:szCs w:val="24"/>
        </w:rPr>
      </w:pPr>
      <w:r>
        <w:rPr>
          <w:sz w:val="24"/>
          <w:szCs w:val="24"/>
        </w:rPr>
        <w:t>The data from</w:t>
      </w:r>
      <w:r w:rsidR="00E12DC5">
        <w:rPr>
          <w:sz w:val="24"/>
          <w:szCs w:val="24"/>
        </w:rPr>
        <w:t xml:space="preserve"> </w:t>
      </w:r>
      <w:sdt>
        <w:sdtPr>
          <w:tag w:val="goog_rdk_17"/>
          <w:id w:val="1601306630"/>
        </w:sdtPr>
        <w:sdtEndPr/>
        <w:sdtContent>
          <w:r>
            <w:rPr>
              <w:sz w:val="24"/>
              <w:szCs w:val="24"/>
            </w:rPr>
            <w:t>I</w:t>
          </w:r>
        </w:sdtContent>
      </w:sdt>
      <w:r>
        <w:rPr>
          <w:sz w:val="24"/>
          <w:szCs w:val="24"/>
        </w:rPr>
        <w:t xml:space="preserve">nstrument 2 has to be prepared in an excel file by exporting the data from the original instrument software. It is important to ensure that the parameters are integrated in the excel file (i.e. ensure that the spectra has the components/parameters, protein, moisture, NDF, trans-fats,… in the same order than the spectra before transfer, to later be added for the </w:t>
      </w:r>
      <w:proofErr w:type="spellStart"/>
      <w:r>
        <w:rPr>
          <w:sz w:val="24"/>
          <w:szCs w:val="24"/>
        </w:rPr>
        <w:t>PLSr</w:t>
      </w:r>
      <w:proofErr w:type="spellEnd"/>
      <w:r>
        <w:rPr>
          <w:sz w:val="24"/>
          <w:szCs w:val="24"/>
        </w:rPr>
        <w:t xml:space="preserve"> parameter calibration).</w:t>
      </w:r>
    </w:p>
    <w:p w:rsidR="00720346" w:rsidRDefault="00A00F11">
      <w:pPr>
        <w:pStyle w:val="Heading2"/>
        <w:jc w:val="both"/>
      </w:pPr>
      <w:bookmarkStart w:id="8" w:name="_heading=h.1t3h5sf" w:colFirst="0" w:colLast="0"/>
      <w:bookmarkEnd w:id="8"/>
      <w:r>
        <w:t>CREATING THE TRANSFER METHOD/FUNCTION</w:t>
      </w:r>
    </w:p>
    <w:p w:rsidR="00720346" w:rsidRDefault="00A00F11">
      <w:pPr>
        <w:jc w:val="both"/>
        <w:rPr>
          <w:sz w:val="24"/>
          <w:szCs w:val="24"/>
        </w:rPr>
      </w:pPr>
      <w:bookmarkStart w:id="9" w:name="_heading=h.4d34og8" w:colFirst="0" w:colLast="0"/>
      <w:bookmarkEnd w:id="9"/>
      <w:r>
        <w:rPr>
          <w:sz w:val="24"/>
          <w:szCs w:val="24"/>
        </w:rPr>
        <w:t xml:space="preserve">There are two ways to transfer the spectra, one is using </w:t>
      </w:r>
      <w:proofErr w:type="spellStart"/>
      <w:r>
        <w:rPr>
          <w:sz w:val="24"/>
          <w:szCs w:val="24"/>
        </w:rPr>
        <w:t>Solo+Exporter</w:t>
      </w:r>
      <w:proofErr w:type="spellEnd"/>
      <w:r>
        <w:rPr>
          <w:sz w:val="24"/>
          <w:szCs w:val="24"/>
        </w:rPr>
        <w:t xml:space="preserve"> software from Eigenvector (presented here), and the second is using a Si-Ware Web Application.</w:t>
      </w:r>
    </w:p>
    <w:p w:rsidR="00720346" w:rsidRDefault="00720346">
      <w:pPr>
        <w:jc w:val="both"/>
        <w:rPr>
          <w:sz w:val="24"/>
          <w:szCs w:val="24"/>
        </w:rPr>
      </w:pPr>
    </w:p>
    <w:bookmarkStart w:id="10" w:name="_heading=h.2s8eyo1" w:colFirst="0" w:colLast="0"/>
    <w:bookmarkEnd w:id="10"/>
    <w:p w:rsidR="00720346" w:rsidRDefault="00A00F11">
      <w:pPr>
        <w:jc w:val="both"/>
        <w:rPr>
          <w:sz w:val="24"/>
          <w:szCs w:val="24"/>
        </w:rPr>
      </w:pPr>
      <w:r>
        <w:rPr>
          <w:sz w:val="24"/>
          <w:szCs w:val="24"/>
        </w:rPr>
        <w:object w:dxaOrig="1536" w:dyaOrig="996" w14:anchorId="52D75B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9" o:title=""/>
          </v:shape>
          <o:OLEObject Type="Embed" ProgID="PowerPoint.Show.12" ShapeID="_x0000_i1025" DrawAspect="Icon" ObjectID="_1770524441" r:id="rId10"/>
        </w:object>
      </w:r>
    </w:p>
    <w:p w:rsidR="00720346" w:rsidRDefault="00720346">
      <w:pPr>
        <w:jc w:val="both"/>
      </w:pPr>
      <w:bookmarkStart w:id="11" w:name="_heading=h.17dp8vu" w:colFirst="0" w:colLast="0"/>
      <w:bookmarkEnd w:id="11"/>
    </w:p>
    <w:p w:rsidR="00720346" w:rsidRDefault="00A00F11">
      <w:pPr>
        <w:pStyle w:val="Heading2"/>
        <w:jc w:val="both"/>
      </w:pPr>
      <w:bookmarkStart w:id="12" w:name="_heading=h.3rdcrjn" w:colFirst="0" w:colLast="0"/>
      <w:bookmarkEnd w:id="12"/>
      <w:r>
        <w:t>PREPARING THE DATA (</w:t>
      </w:r>
      <w:proofErr w:type="spellStart"/>
      <w:r>
        <w:t>SOLO+Exporter</w:t>
      </w:r>
      <w:proofErr w:type="spellEnd"/>
      <w:r>
        <w:t>)</w:t>
      </w:r>
    </w:p>
    <w:p w:rsidR="00720346" w:rsidRDefault="00A00F11">
      <w:pPr>
        <w:jc w:val="both"/>
        <w:rPr>
          <w:sz w:val="24"/>
          <w:szCs w:val="24"/>
        </w:rPr>
      </w:pPr>
      <w:r>
        <w:rPr>
          <w:sz w:val="24"/>
          <w:szCs w:val="24"/>
        </w:rPr>
        <w:t xml:space="preserve">In order to be able to begin the transfer process, the calibration spectra from Instrument 2 will need to be exported from the Native software (i.e., </w:t>
      </w:r>
      <w:proofErr w:type="spellStart"/>
      <w:r>
        <w:rPr>
          <w:sz w:val="24"/>
          <w:szCs w:val="24"/>
        </w:rPr>
        <w:t>NIRware</w:t>
      </w:r>
      <w:proofErr w:type="spellEnd"/>
      <w:r>
        <w:rPr>
          <w:sz w:val="24"/>
          <w:szCs w:val="24"/>
        </w:rPr>
        <w:t>/</w:t>
      </w:r>
      <w:proofErr w:type="spellStart"/>
      <w:r>
        <w:rPr>
          <w:sz w:val="24"/>
          <w:szCs w:val="24"/>
        </w:rPr>
        <w:t>NirCal</w:t>
      </w:r>
      <w:proofErr w:type="spellEnd"/>
      <w:r>
        <w:rPr>
          <w:sz w:val="24"/>
          <w:szCs w:val="24"/>
        </w:rPr>
        <w:t xml:space="preserve"> - Buchi, OPUS - </w:t>
      </w:r>
      <w:proofErr w:type="spellStart"/>
      <w:r>
        <w:rPr>
          <w:sz w:val="24"/>
          <w:szCs w:val="24"/>
        </w:rPr>
        <w:t>Bruker</w:t>
      </w:r>
      <w:proofErr w:type="spellEnd"/>
      <w:r>
        <w:rPr>
          <w:sz w:val="24"/>
          <w:szCs w:val="24"/>
        </w:rPr>
        <w:t>) and converted into a csv file for importing into the transfer program.  Eigenvector solo has the capability to import most Native instrument spectral formats, as well as text files.  To simplify the transfer process, it is best to standardize the input files in the form of a CSV file with the Sample Name/Number in the first column, the x-axis on the first row and the associated Y values for each sample in their corresponding columns.</w:t>
      </w:r>
    </w:p>
    <w:p w:rsidR="00720346" w:rsidRDefault="00720346">
      <w:pPr>
        <w:jc w:val="both"/>
        <w:rPr>
          <w:sz w:val="24"/>
          <w:szCs w:val="24"/>
        </w:rPr>
      </w:pPr>
    </w:p>
    <w:p w:rsidR="00720346" w:rsidRDefault="00A00F11">
      <w:pPr>
        <w:jc w:val="both"/>
        <w:rPr>
          <w:sz w:val="24"/>
          <w:szCs w:val="24"/>
        </w:rPr>
      </w:pPr>
      <w:r>
        <w:rPr>
          <w:noProof/>
          <w:sz w:val="24"/>
          <w:szCs w:val="24"/>
        </w:rPr>
        <w:drawing>
          <wp:inline distT="114300" distB="114300" distL="114300" distR="114300">
            <wp:extent cx="4171950" cy="1019175"/>
            <wp:effectExtent l="0" t="0" r="0" b="0"/>
            <wp:docPr id="24" name="image13.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able&#10;&#10;Description automatically generated"/>
                    <pic:cNvPicPr preferRelativeResize="0"/>
                  </pic:nvPicPr>
                  <pic:blipFill>
                    <a:blip r:embed="rId11"/>
                    <a:srcRect/>
                    <a:stretch>
                      <a:fillRect/>
                    </a:stretch>
                  </pic:blipFill>
                  <pic:spPr>
                    <a:xfrm>
                      <a:off x="0" y="0"/>
                      <a:ext cx="4171950" cy="1019175"/>
                    </a:xfrm>
                    <a:prstGeom prst="rect">
                      <a:avLst/>
                    </a:prstGeom>
                    <a:ln/>
                  </pic:spPr>
                </pic:pic>
              </a:graphicData>
            </a:graphic>
          </wp:inline>
        </w:drawing>
      </w:r>
    </w:p>
    <w:p w:rsidR="00720346" w:rsidRDefault="00A00F11">
      <w:pPr>
        <w:jc w:val="both"/>
        <w:rPr>
          <w:b/>
          <w:i/>
          <w:sz w:val="24"/>
          <w:szCs w:val="24"/>
        </w:rPr>
      </w:pPr>
      <w:r>
        <w:rPr>
          <w:b/>
          <w:i/>
          <w:sz w:val="24"/>
          <w:szCs w:val="24"/>
        </w:rPr>
        <w:lastRenderedPageBreak/>
        <w:t xml:space="preserve">Careful consideration MUST be made when creating both files such that each file from each instrument is both in the same order numerically </w:t>
      </w:r>
      <w:r>
        <w:rPr>
          <w:b/>
          <w:i/>
          <w:sz w:val="24"/>
          <w:szCs w:val="24"/>
          <w:u w:val="single"/>
        </w:rPr>
        <w:t>AND</w:t>
      </w:r>
      <w:r>
        <w:rPr>
          <w:b/>
          <w:i/>
          <w:sz w:val="24"/>
          <w:szCs w:val="24"/>
        </w:rPr>
        <w:t xml:space="preserve"> the x-axis is oriented in the same direction.  </w:t>
      </w:r>
    </w:p>
    <w:p w:rsidR="00720346" w:rsidRDefault="00A00F11">
      <w:pPr>
        <w:jc w:val="both"/>
        <w:rPr>
          <w:sz w:val="24"/>
          <w:szCs w:val="24"/>
        </w:rPr>
      </w:pPr>
      <w:r>
        <w:rPr>
          <w:sz w:val="24"/>
          <w:szCs w:val="24"/>
        </w:rPr>
        <w:t xml:space="preserve">Once you have the data from each instrument in </w:t>
      </w:r>
      <w:sdt>
        <w:sdtPr>
          <w:tag w:val="goog_rdk_20"/>
          <w:id w:val="-359431495"/>
        </w:sdtPr>
        <w:sdtEndPr/>
        <w:sdtContent>
          <w:r>
            <w:rPr>
              <w:sz w:val="24"/>
              <w:szCs w:val="24"/>
            </w:rPr>
            <w:t>its</w:t>
          </w:r>
        </w:sdtContent>
      </w:sdt>
      <w:r>
        <w:rPr>
          <w:sz w:val="24"/>
          <w:szCs w:val="24"/>
        </w:rPr>
        <w:t xml:space="preserve"> own CSV file format and named appropriately (I.e., Instrument 1_ProductDescription_TransferSet_Date), you can then move on to creating the transfer function.</w:t>
      </w:r>
    </w:p>
    <w:p w:rsidR="00720346" w:rsidRDefault="00A00F11">
      <w:pPr>
        <w:pStyle w:val="Heading2"/>
        <w:jc w:val="both"/>
      </w:pPr>
      <w:bookmarkStart w:id="13" w:name="_heading=h.26in1rg" w:colFirst="0" w:colLast="0"/>
      <w:bookmarkEnd w:id="13"/>
      <w:r>
        <w:t>Average spectra?</w:t>
      </w:r>
    </w:p>
    <w:p w:rsidR="00720346" w:rsidRDefault="00A00F11">
      <w:pPr>
        <w:jc w:val="both"/>
        <w:rPr>
          <w:sz w:val="24"/>
          <w:szCs w:val="24"/>
        </w:rPr>
      </w:pPr>
      <w:proofErr w:type="spellStart"/>
      <w:r>
        <w:rPr>
          <w:sz w:val="24"/>
          <w:szCs w:val="24"/>
        </w:rPr>
        <w:t>Neospectra</w:t>
      </w:r>
      <w:proofErr w:type="spellEnd"/>
      <w:r>
        <w:rPr>
          <w:sz w:val="24"/>
          <w:szCs w:val="24"/>
        </w:rPr>
        <w:t xml:space="preserve">, </w:t>
      </w:r>
      <w:sdt>
        <w:sdtPr>
          <w:tag w:val="goog_rdk_22"/>
          <w:id w:val="221418564"/>
        </w:sdtPr>
        <w:sdtEndPr/>
        <w:sdtContent>
          <w:r>
            <w:rPr>
              <w:sz w:val="24"/>
              <w:szCs w:val="24"/>
            </w:rPr>
            <w:t>I</w:t>
          </w:r>
        </w:sdtContent>
      </w:sdt>
      <w:r>
        <w:rPr>
          <w:sz w:val="24"/>
          <w:szCs w:val="24"/>
        </w:rPr>
        <w:t xml:space="preserve">nstrument 1, spectra </w:t>
      </w:r>
      <w:sdt>
        <w:sdtPr>
          <w:tag w:val="goog_rdk_24"/>
          <w:id w:val="-341087558"/>
        </w:sdtPr>
        <w:sdtEndPr/>
        <w:sdtContent>
          <w:r>
            <w:rPr>
              <w:sz w:val="24"/>
              <w:szCs w:val="24"/>
            </w:rPr>
            <w:t xml:space="preserve">should </w:t>
          </w:r>
        </w:sdtContent>
      </w:sdt>
      <w:r>
        <w:rPr>
          <w:sz w:val="24"/>
          <w:szCs w:val="24"/>
        </w:rPr>
        <w:t xml:space="preserve"> always have several measurements per sample. The</w:t>
      </w:r>
      <w:sdt>
        <w:sdtPr>
          <w:tag w:val="goog_rdk_26"/>
          <w:id w:val="-1136566548"/>
        </w:sdtPr>
        <w:sdtEndPr/>
        <w:sdtContent>
          <w:r>
            <w:rPr>
              <w:sz w:val="24"/>
              <w:szCs w:val="24"/>
            </w:rPr>
            <w:t xml:space="preserve">se then </w:t>
          </w:r>
        </w:sdtContent>
      </w:sdt>
      <w:r>
        <w:rPr>
          <w:sz w:val="24"/>
          <w:szCs w:val="24"/>
        </w:rPr>
        <w:t xml:space="preserve"> need to be averaged to have a single spectrum per sample. This operation can be done in the Solo software once the spectra file is uploaded. Double-click on the matrix, select Transform, </w:t>
      </w:r>
      <w:proofErr w:type="spellStart"/>
      <w:r>
        <w:rPr>
          <w:sz w:val="24"/>
          <w:szCs w:val="24"/>
        </w:rPr>
        <w:t>Coadd</w:t>
      </w:r>
      <w:proofErr w:type="spellEnd"/>
      <w:r>
        <w:rPr>
          <w:sz w:val="24"/>
          <w:szCs w:val="24"/>
        </w:rPr>
        <w:t xml:space="preserve"> data Reduction.</w:t>
      </w:r>
    </w:p>
    <w:p w:rsidR="00720346" w:rsidRDefault="00A00F11">
      <w:pPr>
        <w:jc w:val="both"/>
        <w:rPr>
          <w:sz w:val="24"/>
          <w:szCs w:val="24"/>
        </w:rPr>
      </w:pPr>
      <w:r>
        <w:rPr>
          <w:noProof/>
          <w:sz w:val="24"/>
          <w:szCs w:val="24"/>
        </w:rPr>
        <w:drawing>
          <wp:inline distT="114300" distB="114300" distL="114300" distR="114300">
            <wp:extent cx="3667665" cy="287879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3667665" cy="2878793"/>
                    </a:xfrm>
                    <a:prstGeom prst="rect">
                      <a:avLst/>
                    </a:prstGeom>
                    <a:ln/>
                  </pic:spPr>
                </pic:pic>
              </a:graphicData>
            </a:graphic>
          </wp:inline>
        </w:drawing>
      </w:r>
    </w:p>
    <w:p w:rsidR="00720346" w:rsidRDefault="00A00F11">
      <w:pPr>
        <w:jc w:val="both"/>
        <w:rPr>
          <w:sz w:val="24"/>
          <w:szCs w:val="24"/>
        </w:rPr>
      </w:pPr>
      <w:r>
        <w:rPr>
          <w:sz w:val="24"/>
          <w:szCs w:val="24"/>
        </w:rPr>
        <w:t xml:space="preserve">A pop-up with the setting will appear. Select the number of measurements done per sample (in the example 12 measurements per sample) and change action to mean. Reduction should be done in the rows direction (as per default). </w:t>
      </w:r>
    </w:p>
    <w:p w:rsidR="00720346" w:rsidRDefault="00A00F11">
      <w:pPr>
        <w:jc w:val="both"/>
        <w:rPr>
          <w:sz w:val="24"/>
          <w:szCs w:val="24"/>
        </w:rPr>
      </w:pPr>
      <w:r>
        <w:rPr>
          <w:noProof/>
          <w:sz w:val="24"/>
          <w:szCs w:val="24"/>
        </w:rPr>
        <w:drawing>
          <wp:inline distT="114300" distB="114300" distL="114300" distR="114300">
            <wp:extent cx="2525519" cy="1562297"/>
            <wp:effectExtent l="0" t="0" r="0" b="0"/>
            <wp:docPr id="26"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13"/>
                    <a:srcRect/>
                    <a:stretch>
                      <a:fillRect/>
                    </a:stretch>
                  </pic:blipFill>
                  <pic:spPr>
                    <a:xfrm>
                      <a:off x="0" y="0"/>
                      <a:ext cx="2525519" cy="1562297"/>
                    </a:xfrm>
                    <a:prstGeom prst="rect">
                      <a:avLst/>
                    </a:prstGeom>
                    <a:ln/>
                  </pic:spPr>
                </pic:pic>
              </a:graphicData>
            </a:graphic>
          </wp:inline>
        </w:drawing>
      </w:r>
    </w:p>
    <w:p w:rsidR="00720346" w:rsidRDefault="00A00F11">
      <w:pPr>
        <w:pStyle w:val="Heading2"/>
        <w:jc w:val="both"/>
      </w:pPr>
      <w:bookmarkStart w:id="14" w:name="_heading=h.lnxbz9" w:colFirst="0" w:colLast="0"/>
      <w:bookmarkEnd w:id="14"/>
      <w:r>
        <w:lastRenderedPageBreak/>
        <w:t>CREATING THE TRANSFER METHOD/FUNCTION</w:t>
      </w:r>
    </w:p>
    <w:p w:rsidR="00720346" w:rsidRDefault="00A00F11">
      <w:pPr>
        <w:jc w:val="both"/>
        <w:rPr>
          <w:i/>
          <w:color w:val="222222"/>
          <w:sz w:val="24"/>
          <w:szCs w:val="24"/>
        </w:rPr>
      </w:pPr>
      <w:r>
        <w:rPr>
          <w:sz w:val="24"/>
          <w:szCs w:val="24"/>
        </w:rPr>
        <w:t>*IMPORTANT: Before you begin creating a transfer method in Eigenvector Solo, you must make one very important change. We need to change the maximum number of Principal Components (PCs) used by the Piecewise Direct Standardization (PDS) algorithm to a max of 1.  The max PCs may be set from the home workspace window</w:t>
      </w:r>
      <w:r>
        <w:rPr>
          <w:b/>
          <w:sz w:val="24"/>
          <w:szCs w:val="24"/>
        </w:rPr>
        <w:t xml:space="preserve"> </w:t>
      </w:r>
      <w:r>
        <w:rPr>
          <w:sz w:val="24"/>
          <w:szCs w:val="24"/>
        </w:rPr>
        <w:t xml:space="preserve">via </w:t>
      </w:r>
      <w:r>
        <w:rPr>
          <w:i/>
          <w:sz w:val="24"/>
          <w:szCs w:val="24"/>
        </w:rPr>
        <w:t>Edit =&gt; Options =&gt; Preferences</w:t>
      </w:r>
      <w:r>
        <w:rPr>
          <w:sz w:val="24"/>
          <w:szCs w:val="24"/>
        </w:rPr>
        <w:t xml:space="preserve"> and search for the function</w:t>
      </w:r>
      <w:r>
        <w:rPr>
          <w:i/>
          <w:sz w:val="24"/>
          <w:szCs w:val="24"/>
        </w:rPr>
        <w:t xml:space="preserve"> </w:t>
      </w:r>
      <w:proofErr w:type="spellStart"/>
      <w:r>
        <w:rPr>
          <w:b/>
          <w:i/>
          <w:sz w:val="24"/>
          <w:szCs w:val="24"/>
        </w:rPr>
        <w:t>stdgen</w:t>
      </w:r>
      <w:proofErr w:type="spellEnd"/>
      <w:r>
        <w:rPr>
          <w:sz w:val="24"/>
          <w:szCs w:val="24"/>
        </w:rPr>
        <w:t xml:space="preserve"> the default value is empty [ ], which then is interpreted to be the number of samples.</w:t>
      </w:r>
      <w:r>
        <w:rPr>
          <w:color w:val="222222"/>
          <w:sz w:val="24"/>
          <w:szCs w:val="24"/>
        </w:rPr>
        <w:t xml:space="preserve"> Reducing the number of PCs to 1 effectively and reliably eliminates any "spikey" behaviors in the calibration transfer process. *</w:t>
      </w:r>
      <w:r>
        <w:rPr>
          <w:i/>
          <w:color w:val="222222"/>
          <w:sz w:val="24"/>
          <w:szCs w:val="24"/>
        </w:rPr>
        <w:t xml:space="preserve">(it should be noted, that occasionally it will be useful to use more than one PC, but for the majority of the cases, one should suffice.) </w:t>
      </w:r>
    </w:p>
    <w:p w:rsidR="00720346" w:rsidRDefault="00A00F11">
      <w:pPr>
        <w:jc w:val="both"/>
        <w:rPr>
          <w:sz w:val="24"/>
          <w:szCs w:val="24"/>
        </w:rPr>
      </w:pPr>
      <w:r>
        <w:rPr>
          <w:noProof/>
          <w:sz w:val="24"/>
          <w:szCs w:val="24"/>
        </w:rPr>
        <w:drawing>
          <wp:inline distT="114300" distB="114300" distL="114300" distR="114300">
            <wp:extent cx="5052060" cy="2526030"/>
            <wp:effectExtent l="0" t="0" r="0" b="0"/>
            <wp:docPr id="25"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10;&#10;Description automatically generated"/>
                    <pic:cNvPicPr preferRelativeResize="0"/>
                  </pic:nvPicPr>
                  <pic:blipFill>
                    <a:blip r:embed="rId14"/>
                    <a:srcRect/>
                    <a:stretch>
                      <a:fillRect/>
                    </a:stretch>
                  </pic:blipFill>
                  <pic:spPr>
                    <a:xfrm>
                      <a:off x="0" y="0"/>
                      <a:ext cx="5052060" cy="2526030"/>
                    </a:xfrm>
                    <a:prstGeom prst="rect">
                      <a:avLst/>
                    </a:prstGeom>
                    <a:ln/>
                  </pic:spPr>
                </pic:pic>
              </a:graphicData>
            </a:graphic>
          </wp:inline>
        </w:drawing>
      </w:r>
    </w:p>
    <w:p w:rsidR="00720346" w:rsidRDefault="00A00F11">
      <w:pPr>
        <w:jc w:val="both"/>
        <w:rPr>
          <w:sz w:val="24"/>
          <w:szCs w:val="24"/>
        </w:rPr>
      </w:pPr>
      <w:r>
        <w:rPr>
          <w:sz w:val="24"/>
          <w:szCs w:val="24"/>
        </w:rPr>
        <w:t xml:space="preserve">Upon clicking on </w:t>
      </w:r>
      <w:r>
        <w:rPr>
          <w:i/>
          <w:sz w:val="24"/>
          <w:szCs w:val="24"/>
        </w:rPr>
        <w:t>Preferences</w:t>
      </w:r>
      <w:r>
        <w:rPr>
          <w:sz w:val="24"/>
          <w:szCs w:val="24"/>
        </w:rPr>
        <w:t xml:space="preserve"> you may receive the following prompt:</w:t>
      </w:r>
    </w:p>
    <w:p w:rsidR="00720346" w:rsidRDefault="00A00F11">
      <w:pPr>
        <w:jc w:val="both"/>
        <w:rPr>
          <w:sz w:val="24"/>
          <w:szCs w:val="24"/>
        </w:rPr>
      </w:pPr>
      <w:r>
        <w:rPr>
          <w:noProof/>
          <w:sz w:val="24"/>
          <w:szCs w:val="24"/>
        </w:rPr>
        <w:drawing>
          <wp:inline distT="114300" distB="114300" distL="114300" distR="114300">
            <wp:extent cx="2445068" cy="1173632"/>
            <wp:effectExtent l="0" t="0" r="0" b="0"/>
            <wp:docPr id="28"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15"/>
                    <a:srcRect/>
                    <a:stretch>
                      <a:fillRect/>
                    </a:stretch>
                  </pic:blipFill>
                  <pic:spPr>
                    <a:xfrm>
                      <a:off x="0" y="0"/>
                      <a:ext cx="2445068" cy="1173632"/>
                    </a:xfrm>
                    <a:prstGeom prst="rect">
                      <a:avLst/>
                    </a:prstGeom>
                    <a:ln/>
                  </pic:spPr>
                </pic:pic>
              </a:graphicData>
            </a:graphic>
          </wp:inline>
        </w:drawing>
      </w:r>
    </w:p>
    <w:p w:rsidR="00720346" w:rsidRDefault="00A00F11">
      <w:pPr>
        <w:jc w:val="both"/>
        <w:rPr>
          <w:sz w:val="24"/>
          <w:szCs w:val="24"/>
        </w:rPr>
      </w:pPr>
      <w:r>
        <w:rPr>
          <w:sz w:val="24"/>
          <w:szCs w:val="24"/>
        </w:rPr>
        <w:t>Select “ok” to continue.</w:t>
      </w:r>
    </w:p>
    <w:p w:rsidR="00720346" w:rsidRDefault="00A00F11">
      <w:pPr>
        <w:jc w:val="both"/>
        <w:rPr>
          <w:sz w:val="24"/>
          <w:szCs w:val="24"/>
        </w:rPr>
      </w:pPr>
      <w:r>
        <w:rPr>
          <w:sz w:val="24"/>
          <w:szCs w:val="24"/>
        </w:rPr>
        <w:t>In the resulting window type in “</w:t>
      </w:r>
      <w:proofErr w:type="spellStart"/>
      <w:r>
        <w:rPr>
          <w:sz w:val="24"/>
          <w:szCs w:val="24"/>
        </w:rPr>
        <w:t>stdgen</w:t>
      </w:r>
      <w:proofErr w:type="spellEnd"/>
      <w:r>
        <w:rPr>
          <w:sz w:val="24"/>
          <w:szCs w:val="24"/>
        </w:rPr>
        <w:t>” and click on view options as shown below.</w:t>
      </w:r>
    </w:p>
    <w:p w:rsidR="00720346" w:rsidRDefault="00A00F11">
      <w:pPr>
        <w:jc w:val="both"/>
        <w:rPr>
          <w:sz w:val="24"/>
          <w:szCs w:val="24"/>
        </w:rPr>
      </w:pPr>
      <w:r>
        <w:rPr>
          <w:noProof/>
          <w:sz w:val="24"/>
          <w:szCs w:val="24"/>
        </w:rPr>
        <w:lastRenderedPageBreak/>
        <w:drawing>
          <wp:inline distT="114300" distB="114300" distL="114300" distR="114300">
            <wp:extent cx="2617832" cy="3088452"/>
            <wp:effectExtent l="0" t="0" r="0" b="0"/>
            <wp:docPr id="27" name="image1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10;&#10;Description automatically generated"/>
                    <pic:cNvPicPr preferRelativeResize="0"/>
                  </pic:nvPicPr>
                  <pic:blipFill>
                    <a:blip r:embed="rId16"/>
                    <a:srcRect/>
                    <a:stretch>
                      <a:fillRect/>
                    </a:stretch>
                  </pic:blipFill>
                  <pic:spPr>
                    <a:xfrm>
                      <a:off x="0" y="0"/>
                      <a:ext cx="2617832" cy="3088452"/>
                    </a:xfrm>
                    <a:prstGeom prst="rect">
                      <a:avLst/>
                    </a:prstGeom>
                    <a:ln/>
                  </pic:spPr>
                </pic:pic>
              </a:graphicData>
            </a:graphic>
          </wp:inline>
        </w:drawing>
      </w:r>
    </w:p>
    <w:p w:rsidR="00720346" w:rsidRDefault="00A00F11">
      <w:pPr>
        <w:jc w:val="both"/>
        <w:rPr>
          <w:sz w:val="24"/>
          <w:szCs w:val="24"/>
        </w:rPr>
      </w:pPr>
      <w:r>
        <w:rPr>
          <w:sz w:val="24"/>
          <w:szCs w:val="24"/>
        </w:rPr>
        <w:t>From here, you will want to click on the “</w:t>
      </w:r>
      <w:proofErr w:type="spellStart"/>
      <w:r>
        <w:rPr>
          <w:sz w:val="24"/>
          <w:szCs w:val="24"/>
        </w:rPr>
        <w:t>maxpc</w:t>
      </w:r>
      <w:proofErr w:type="spellEnd"/>
      <w:r>
        <w:rPr>
          <w:sz w:val="24"/>
          <w:szCs w:val="24"/>
        </w:rPr>
        <w:t xml:space="preserve">” line under “option” and change the override value to 1 by clicking </w:t>
      </w:r>
      <w:r>
        <w:rPr>
          <w:i/>
          <w:sz w:val="24"/>
          <w:szCs w:val="24"/>
        </w:rPr>
        <w:t>set</w:t>
      </w:r>
      <w:r>
        <w:rPr>
          <w:sz w:val="24"/>
          <w:szCs w:val="24"/>
        </w:rPr>
        <w:t xml:space="preserve">, then </w:t>
      </w:r>
      <w:r>
        <w:rPr>
          <w:i/>
          <w:sz w:val="24"/>
          <w:szCs w:val="24"/>
        </w:rPr>
        <w:t xml:space="preserve">ok </w:t>
      </w:r>
      <w:r>
        <w:rPr>
          <w:sz w:val="24"/>
          <w:szCs w:val="24"/>
        </w:rPr>
        <w:t>as illustrated below.</w:t>
      </w:r>
    </w:p>
    <w:p w:rsidR="00720346" w:rsidRDefault="00A00F11">
      <w:pPr>
        <w:jc w:val="both"/>
        <w:rPr>
          <w:sz w:val="24"/>
          <w:szCs w:val="24"/>
        </w:rPr>
      </w:pPr>
      <w:r>
        <w:rPr>
          <w:noProof/>
          <w:sz w:val="24"/>
          <w:szCs w:val="24"/>
        </w:rPr>
        <w:drawing>
          <wp:inline distT="114300" distB="114300" distL="114300" distR="114300">
            <wp:extent cx="2460815" cy="2855252"/>
            <wp:effectExtent l="0" t="0" r="0" b="0"/>
            <wp:docPr id="30" name="image1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pic:cNvPicPr preferRelativeResize="0"/>
                  </pic:nvPicPr>
                  <pic:blipFill>
                    <a:blip r:embed="rId17"/>
                    <a:srcRect/>
                    <a:stretch>
                      <a:fillRect/>
                    </a:stretch>
                  </pic:blipFill>
                  <pic:spPr>
                    <a:xfrm>
                      <a:off x="0" y="0"/>
                      <a:ext cx="2460815" cy="2855252"/>
                    </a:xfrm>
                    <a:prstGeom prst="rect">
                      <a:avLst/>
                    </a:prstGeom>
                    <a:ln/>
                  </pic:spPr>
                </pic:pic>
              </a:graphicData>
            </a:graphic>
          </wp:inline>
        </w:drawing>
      </w:r>
    </w:p>
    <w:p w:rsidR="00720346" w:rsidRDefault="00A00F11">
      <w:pPr>
        <w:jc w:val="both"/>
        <w:rPr>
          <w:sz w:val="24"/>
          <w:szCs w:val="24"/>
        </w:rPr>
      </w:pPr>
      <w:r>
        <w:rPr>
          <w:sz w:val="24"/>
          <w:szCs w:val="24"/>
        </w:rPr>
        <w:t>You can now move on to setting up the transfer method by double clicking on “calibration transfer” under the “TRANSFORM” menu in your solo workspace browser.</w:t>
      </w:r>
    </w:p>
    <w:p w:rsidR="00720346" w:rsidRDefault="00A00F11">
      <w:pPr>
        <w:jc w:val="both"/>
        <w:rPr>
          <w:sz w:val="24"/>
          <w:szCs w:val="24"/>
        </w:rPr>
      </w:pPr>
      <w:r>
        <w:rPr>
          <w:noProof/>
          <w:sz w:val="24"/>
          <w:szCs w:val="24"/>
        </w:rPr>
        <w:lastRenderedPageBreak/>
        <w:drawing>
          <wp:inline distT="114300" distB="114300" distL="114300" distR="114300">
            <wp:extent cx="5000625" cy="3286125"/>
            <wp:effectExtent l="0" t="0" r="0" b="0"/>
            <wp:docPr id="29" name="image10.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 application, email&#10;&#10;Description automatically generated"/>
                    <pic:cNvPicPr preferRelativeResize="0"/>
                  </pic:nvPicPr>
                  <pic:blipFill>
                    <a:blip r:embed="rId18"/>
                    <a:srcRect/>
                    <a:stretch>
                      <a:fillRect/>
                    </a:stretch>
                  </pic:blipFill>
                  <pic:spPr>
                    <a:xfrm>
                      <a:off x="0" y="0"/>
                      <a:ext cx="5000625" cy="3286125"/>
                    </a:xfrm>
                    <a:prstGeom prst="rect">
                      <a:avLst/>
                    </a:prstGeom>
                    <a:ln/>
                  </pic:spPr>
                </pic:pic>
              </a:graphicData>
            </a:graphic>
          </wp:inline>
        </w:drawing>
      </w:r>
    </w:p>
    <w:p w:rsidR="00720346" w:rsidRDefault="00A00F11">
      <w:pPr>
        <w:jc w:val="both"/>
        <w:rPr>
          <w:sz w:val="24"/>
          <w:szCs w:val="24"/>
        </w:rPr>
      </w:pPr>
      <w:r>
        <w:rPr>
          <w:sz w:val="24"/>
          <w:szCs w:val="24"/>
        </w:rPr>
        <w:t>Once loaded in</w:t>
      </w:r>
      <w:sdt>
        <w:sdtPr>
          <w:tag w:val="goog_rdk_28"/>
          <w:id w:val="-946544498"/>
        </w:sdtPr>
        <w:sdtEndPr/>
        <w:sdtContent>
          <w:r>
            <w:rPr>
              <w:sz w:val="24"/>
              <w:szCs w:val="24"/>
            </w:rPr>
            <w:t>,</w:t>
          </w:r>
        </w:sdtContent>
      </w:sdt>
      <w:r>
        <w:rPr>
          <w:sz w:val="24"/>
          <w:szCs w:val="24"/>
        </w:rPr>
        <w:t xml:space="preserve"> you will be presented with the calibration transfer GUI.  You will first need to load your datasets from Instrument 1 and 2 using the load buttons corresponding to each instrument (as shown) followed by selecting “PDS” under the “model construction” section (as shown).</w:t>
      </w:r>
    </w:p>
    <w:p w:rsidR="00720346" w:rsidRDefault="00A00F11">
      <w:pPr>
        <w:jc w:val="both"/>
        <w:rPr>
          <w:sz w:val="24"/>
          <w:szCs w:val="24"/>
        </w:rPr>
      </w:pPr>
      <w:r>
        <w:rPr>
          <w:noProof/>
          <w:sz w:val="24"/>
          <w:szCs w:val="24"/>
        </w:rPr>
        <w:drawing>
          <wp:inline distT="114300" distB="114300" distL="114300" distR="114300">
            <wp:extent cx="5943600" cy="2908300"/>
            <wp:effectExtent l="0" t="0" r="0" b="0"/>
            <wp:docPr id="33" name="image1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10;&#10;Description automatically generated"/>
                    <pic:cNvPicPr preferRelativeResize="0"/>
                  </pic:nvPicPr>
                  <pic:blipFill>
                    <a:blip r:embed="rId19"/>
                    <a:srcRect/>
                    <a:stretch>
                      <a:fillRect/>
                    </a:stretch>
                  </pic:blipFill>
                  <pic:spPr>
                    <a:xfrm>
                      <a:off x="0" y="0"/>
                      <a:ext cx="5943600" cy="2908300"/>
                    </a:xfrm>
                    <a:prstGeom prst="rect">
                      <a:avLst/>
                    </a:prstGeom>
                    <a:ln/>
                  </pic:spPr>
                </pic:pic>
              </a:graphicData>
            </a:graphic>
          </wp:inline>
        </w:drawing>
      </w:r>
    </w:p>
    <w:p w:rsidR="00720346" w:rsidRDefault="00A00F11">
      <w:pPr>
        <w:jc w:val="both"/>
        <w:rPr>
          <w:sz w:val="24"/>
          <w:szCs w:val="24"/>
        </w:rPr>
      </w:pPr>
      <w:r>
        <w:rPr>
          <w:sz w:val="24"/>
          <w:szCs w:val="24"/>
        </w:rPr>
        <w:t xml:space="preserve">After selecting PDS, you will also need to change the window size under the “parameters” section of GUI as shown.  A window size of 3 should work for most applications. </w:t>
      </w:r>
    </w:p>
    <w:p w:rsidR="00720346" w:rsidRDefault="00A00F11">
      <w:pPr>
        <w:jc w:val="both"/>
        <w:rPr>
          <w:sz w:val="24"/>
          <w:szCs w:val="24"/>
        </w:rPr>
      </w:pPr>
      <w:r>
        <w:rPr>
          <w:noProof/>
          <w:sz w:val="24"/>
          <w:szCs w:val="24"/>
        </w:rPr>
        <w:lastRenderedPageBreak/>
        <w:drawing>
          <wp:inline distT="114300" distB="114300" distL="114300" distR="114300">
            <wp:extent cx="2833688" cy="1270274"/>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833688" cy="1270274"/>
                    </a:xfrm>
                    <a:prstGeom prst="rect">
                      <a:avLst/>
                    </a:prstGeom>
                    <a:ln/>
                  </pic:spPr>
                </pic:pic>
              </a:graphicData>
            </a:graphic>
          </wp:inline>
        </w:drawing>
      </w:r>
    </w:p>
    <w:p w:rsidR="00720346" w:rsidRDefault="00A00F11">
      <w:pPr>
        <w:jc w:val="both"/>
        <w:rPr>
          <w:sz w:val="24"/>
          <w:szCs w:val="24"/>
        </w:rPr>
      </w:pPr>
      <w:r>
        <w:rPr>
          <w:sz w:val="24"/>
          <w:szCs w:val="24"/>
        </w:rPr>
        <w:t>Once you have your parameters set, you can initiate the creation of the transfer function by clicking on the “calculate” button</w:t>
      </w:r>
    </w:p>
    <w:p w:rsidR="00720346" w:rsidRDefault="00A00F11">
      <w:pPr>
        <w:jc w:val="both"/>
        <w:rPr>
          <w:sz w:val="24"/>
          <w:szCs w:val="24"/>
        </w:rPr>
      </w:pPr>
      <w:r>
        <w:rPr>
          <w:noProof/>
          <w:sz w:val="24"/>
          <w:szCs w:val="24"/>
        </w:rPr>
        <w:drawing>
          <wp:inline distT="114300" distB="114300" distL="114300" distR="114300">
            <wp:extent cx="4971098" cy="2534285"/>
            <wp:effectExtent l="0" t="0" r="0" b="0"/>
            <wp:docPr id="32"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21"/>
                    <a:srcRect/>
                    <a:stretch>
                      <a:fillRect/>
                    </a:stretch>
                  </pic:blipFill>
                  <pic:spPr>
                    <a:xfrm>
                      <a:off x="0" y="0"/>
                      <a:ext cx="4971098" cy="2534285"/>
                    </a:xfrm>
                    <a:prstGeom prst="rect">
                      <a:avLst/>
                    </a:prstGeom>
                    <a:ln/>
                  </pic:spPr>
                </pic:pic>
              </a:graphicData>
            </a:graphic>
          </wp:inline>
        </w:drawing>
      </w:r>
    </w:p>
    <w:p w:rsidR="00720346" w:rsidRDefault="00A00F11">
      <w:pPr>
        <w:jc w:val="both"/>
        <w:rPr>
          <w:sz w:val="24"/>
          <w:szCs w:val="24"/>
        </w:rPr>
      </w:pPr>
      <w:r>
        <w:rPr>
          <w:sz w:val="24"/>
          <w:szCs w:val="24"/>
        </w:rPr>
        <w:t>Once you have performed the calculation you can check the performance of the transfer function by looking at several metrics: The calculated difference (which shows the mean difference between the transferred spectra and the spectra from instrument 1.).</w:t>
      </w:r>
    </w:p>
    <w:p w:rsidR="00720346" w:rsidRDefault="00A00F11">
      <w:pPr>
        <w:jc w:val="both"/>
        <w:rPr>
          <w:sz w:val="24"/>
          <w:szCs w:val="24"/>
        </w:rPr>
      </w:pPr>
      <w:r>
        <w:rPr>
          <w:noProof/>
          <w:sz w:val="24"/>
          <w:szCs w:val="24"/>
        </w:rPr>
        <w:drawing>
          <wp:inline distT="114300" distB="114300" distL="114300" distR="114300">
            <wp:extent cx="4639151" cy="2416225"/>
            <wp:effectExtent l="0" t="0" r="0" b="0"/>
            <wp:docPr id="34"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10;&#10;Description automatically generated"/>
                    <pic:cNvPicPr preferRelativeResize="0"/>
                  </pic:nvPicPr>
                  <pic:blipFill>
                    <a:blip r:embed="rId22"/>
                    <a:srcRect/>
                    <a:stretch>
                      <a:fillRect/>
                    </a:stretch>
                  </pic:blipFill>
                  <pic:spPr>
                    <a:xfrm>
                      <a:off x="0" y="0"/>
                      <a:ext cx="4639151" cy="2416225"/>
                    </a:xfrm>
                    <a:prstGeom prst="rect">
                      <a:avLst/>
                    </a:prstGeom>
                    <a:ln/>
                  </pic:spPr>
                </pic:pic>
              </a:graphicData>
            </a:graphic>
          </wp:inline>
        </w:drawing>
      </w:r>
    </w:p>
    <w:p w:rsidR="00720346" w:rsidRDefault="00A00F11">
      <w:pPr>
        <w:jc w:val="both"/>
        <w:rPr>
          <w:sz w:val="24"/>
          <w:szCs w:val="24"/>
        </w:rPr>
      </w:pPr>
      <w:r>
        <w:rPr>
          <w:sz w:val="24"/>
          <w:szCs w:val="24"/>
        </w:rPr>
        <w:lastRenderedPageBreak/>
        <w:t>Or visually by selecting a variety of options when clicking on the “Plots” button.</w:t>
      </w:r>
    </w:p>
    <w:p w:rsidR="00720346" w:rsidRDefault="00A00F11">
      <w:pPr>
        <w:jc w:val="both"/>
        <w:rPr>
          <w:sz w:val="24"/>
          <w:szCs w:val="24"/>
        </w:rPr>
      </w:pPr>
      <w:r>
        <w:rPr>
          <w:noProof/>
          <w:sz w:val="24"/>
          <w:szCs w:val="24"/>
        </w:rPr>
        <w:drawing>
          <wp:inline distT="114300" distB="114300" distL="114300" distR="114300">
            <wp:extent cx="3926681" cy="2650510"/>
            <wp:effectExtent l="0" t="0" r="0" b="0"/>
            <wp:docPr id="35"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23"/>
                    <a:srcRect/>
                    <a:stretch>
                      <a:fillRect/>
                    </a:stretch>
                  </pic:blipFill>
                  <pic:spPr>
                    <a:xfrm>
                      <a:off x="0" y="0"/>
                      <a:ext cx="3926681" cy="2650510"/>
                    </a:xfrm>
                    <a:prstGeom prst="rect">
                      <a:avLst/>
                    </a:prstGeom>
                    <a:ln/>
                  </pic:spPr>
                </pic:pic>
              </a:graphicData>
            </a:graphic>
          </wp:inline>
        </w:drawing>
      </w:r>
    </w:p>
    <w:p w:rsidR="00720346" w:rsidRDefault="00A00F11">
      <w:pPr>
        <w:jc w:val="both"/>
        <w:rPr>
          <w:sz w:val="24"/>
          <w:szCs w:val="24"/>
        </w:rPr>
      </w:pPr>
      <w:r>
        <w:rPr>
          <w:sz w:val="24"/>
          <w:szCs w:val="24"/>
        </w:rPr>
        <w:t xml:space="preserve">Visually the transferred spectra should look smooth (without any jagged peaks or blips), and ideally, closely match those of Instrument 1. </w:t>
      </w:r>
    </w:p>
    <w:p w:rsidR="00720346" w:rsidRDefault="00720346">
      <w:pPr>
        <w:jc w:val="both"/>
        <w:rPr>
          <w:sz w:val="24"/>
          <w:szCs w:val="24"/>
        </w:rPr>
      </w:pPr>
    </w:p>
    <w:p w:rsidR="00720346" w:rsidRDefault="00A00F11">
      <w:pPr>
        <w:jc w:val="both"/>
        <w:rPr>
          <w:sz w:val="24"/>
          <w:szCs w:val="24"/>
        </w:rPr>
      </w:pPr>
      <w:r>
        <w:rPr>
          <w:noProof/>
          <w:sz w:val="24"/>
          <w:szCs w:val="24"/>
        </w:rPr>
        <w:drawing>
          <wp:inline distT="114300" distB="114300" distL="114300" distR="114300">
            <wp:extent cx="4210050" cy="3230969"/>
            <wp:effectExtent l="0" t="0" r="0" b="0"/>
            <wp:docPr id="36" name="image1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histogram&#10;&#10;Description automatically generated"/>
                    <pic:cNvPicPr preferRelativeResize="0"/>
                  </pic:nvPicPr>
                  <pic:blipFill>
                    <a:blip r:embed="rId24"/>
                    <a:srcRect/>
                    <a:stretch>
                      <a:fillRect/>
                    </a:stretch>
                  </pic:blipFill>
                  <pic:spPr>
                    <a:xfrm>
                      <a:off x="0" y="0"/>
                      <a:ext cx="4210050" cy="3230969"/>
                    </a:xfrm>
                    <a:prstGeom prst="rect">
                      <a:avLst/>
                    </a:prstGeom>
                    <a:ln/>
                  </pic:spPr>
                </pic:pic>
              </a:graphicData>
            </a:graphic>
          </wp:inline>
        </w:drawing>
      </w:r>
    </w:p>
    <w:p w:rsidR="00720346" w:rsidRDefault="00720346">
      <w:pPr>
        <w:jc w:val="both"/>
        <w:rPr>
          <w:sz w:val="24"/>
          <w:szCs w:val="24"/>
        </w:rPr>
      </w:pPr>
    </w:p>
    <w:p w:rsidR="00720346" w:rsidRDefault="00A00F11">
      <w:pPr>
        <w:jc w:val="both"/>
        <w:rPr>
          <w:sz w:val="24"/>
          <w:szCs w:val="24"/>
        </w:rPr>
      </w:pPr>
      <w:r>
        <w:rPr>
          <w:sz w:val="24"/>
          <w:szCs w:val="24"/>
        </w:rPr>
        <w:t>An example of a bad transfer (which can be caused by a windows size that is too large, or too many pcs being used) is shown below.</w:t>
      </w:r>
    </w:p>
    <w:p w:rsidR="00720346" w:rsidRDefault="00720346">
      <w:pPr>
        <w:jc w:val="both"/>
        <w:rPr>
          <w:sz w:val="24"/>
          <w:szCs w:val="24"/>
        </w:rPr>
      </w:pPr>
    </w:p>
    <w:p w:rsidR="00720346" w:rsidRDefault="00A00F11">
      <w:pPr>
        <w:jc w:val="both"/>
        <w:rPr>
          <w:sz w:val="24"/>
          <w:szCs w:val="24"/>
        </w:rPr>
      </w:pPr>
      <w:r>
        <w:rPr>
          <w:noProof/>
          <w:sz w:val="24"/>
          <w:szCs w:val="24"/>
        </w:rPr>
        <w:drawing>
          <wp:inline distT="114300" distB="114300" distL="114300" distR="114300">
            <wp:extent cx="5052060" cy="2331720"/>
            <wp:effectExtent l="0" t="0" r="0" b="0"/>
            <wp:docPr id="37" name="image20.png" descr="Chart, diagram,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diagram, histogram&#10;&#10;Description automatically generated"/>
                    <pic:cNvPicPr preferRelativeResize="0"/>
                  </pic:nvPicPr>
                  <pic:blipFill>
                    <a:blip r:embed="rId25"/>
                    <a:srcRect/>
                    <a:stretch>
                      <a:fillRect/>
                    </a:stretch>
                  </pic:blipFill>
                  <pic:spPr>
                    <a:xfrm>
                      <a:off x="0" y="0"/>
                      <a:ext cx="5052060" cy="2331720"/>
                    </a:xfrm>
                    <a:prstGeom prst="rect">
                      <a:avLst/>
                    </a:prstGeom>
                    <a:ln/>
                  </pic:spPr>
                </pic:pic>
              </a:graphicData>
            </a:graphic>
          </wp:inline>
        </w:drawing>
      </w:r>
    </w:p>
    <w:p w:rsidR="00720346" w:rsidRDefault="00A00F11">
      <w:pPr>
        <w:jc w:val="both"/>
        <w:rPr>
          <w:sz w:val="24"/>
          <w:szCs w:val="24"/>
        </w:rPr>
      </w:pPr>
      <w:r>
        <w:rPr>
          <w:sz w:val="24"/>
          <w:szCs w:val="24"/>
        </w:rPr>
        <w:t xml:space="preserve">For </w:t>
      </w:r>
      <w:sdt>
        <w:sdtPr>
          <w:tag w:val="goog_rdk_29"/>
          <w:id w:val="131683836"/>
        </w:sdtPr>
        <w:sdtEndPr/>
        <w:sdtContent>
          <w:r>
            <w:rPr>
              <w:sz w:val="24"/>
              <w:szCs w:val="24"/>
            </w:rPr>
            <w:t xml:space="preserve">a </w:t>
          </w:r>
        </w:sdtContent>
      </w:sdt>
      <w:r>
        <w:rPr>
          <w:sz w:val="24"/>
          <w:szCs w:val="24"/>
        </w:rPr>
        <w:t xml:space="preserve"> </w:t>
      </w:r>
      <w:sdt>
        <w:sdtPr>
          <w:tag w:val="goog_rdk_30"/>
          <w:id w:val="-88237387"/>
        </w:sdtPr>
        <w:sdtEndPr/>
        <w:sdtContent>
          <w:r>
            <w:rPr>
              <w:sz w:val="24"/>
              <w:szCs w:val="24"/>
            </w:rPr>
            <w:t>transfer function</w:t>
          </w:r>
        </w:sdtContent>
      </w:sdt>
      <w:sdt>
        <w:sdtPr>
          <w:tag w:val="goog_rdk_31"/>
          <w:id w:val="-2093700182"/>
          <w:showingPlcHdr/>
        </w:sdtPr>
        <w:sdtEndPr/>
        <w:sdtContent>
          <w:r w:rsidR="003E42A8">
            <w:t xml:space="preserve">     </w:t>
          </w:r>
        </w:sdtContent>
      </w:sdt>
      <w:r>
        <w:rPr>
          <w:sz w:val="24"/>
          <w:szCs w:val="24"/>
        </w:rPr>
        <w:t xml:space="preserve"> to be successful the differences between instrument 1 and 2 should be minimal</w:t>
      </w:r>
      <w:sdt>
        <w:sdtPr>
          <w:tag w:val="goog_rdk_32"/>
          <w:id w:val="-313640774"/>
        </w:sdtPr>
        <w:sdtEndPr/>
        <w:sdtContent>
          <w:r>
            <w:rPr>
              <w:sz w:val="24"/>
              <w:szCs w:val="24"/>
            </w:rPr>
            <w:t>.</w:t>
          </w:r>
        </w:sdtContent>
      </w:sdt>
      <w:sdt>
        <w:sdtPr>
          <w:tag w:val="goog_rdk_33"/>
          <w:id w:val="1994977263"/>
          <w:showingPlcHdr/>
        </w:sdtPr>
        <w:sdtEndPr/>
        <w:sdtContent>
          <w:r w:rsidR="003E42A8">
            <w:t xml:space="preserve">     </w:t>
          </w:r>
        </w:sdtContent>
      </w:sdt>
      <w:r>
        <w:rPr>
          <w:sz w:val="24"/>
          <w:szCs w:val="24"/>
        </w:rPr>
        <w:t xml:space="preserve"> </w:t>
      </w:r>
      <w:sdt>
        <w:sdtPr>
          <w:tag w:val="goog_rdk_34"/>
          <w:id w:val="592506841"/>
        </w:sdtPr>
        <w:sdtEndPr/>
        <w:sdtContent>
          <w:r>
            <w:rPr>
              <w:sz w:val="24"/>
              <w:szCs w:val="24"/>
            </w:rPr>
            <w:t>B</w:t>
          </w:r>
        </w:sdtContent>
      </w:sdt>
      <w:sdt>
        <w:sdtPr>
          <w:tag w:val="goog_rdk_35"/>
          <w:id w:val="-1143726739"/>
          <w:showingPlcHdr/>
        </w:sdtPr>
        <w:sdtEndPr/>
        <w:sdtContent>
          <w:r w:rsidR="003E42A8">
            <w:t xml:space="preserve">     </w:t>
          </w:r>
        </w:sdtContent>
      </w:sdt>
      <w:r>
        <w:rPr>
          <w:sz w:val="24"/>
          <w:szCs w:val="24"/>
        </w:rPr>
        <w:t>y selecting “difference spectra” from the “plots” menu</w:t>
      </w:r>
      <w:sdt>
        <w:sdtPr>
          <w:tag w:val="goog_rdk_36"/>
          <w:id w:val="957602964"/>
        </w:sdtPr>
        <w:sdtEndPr/>
        <w:sdtContent>
          <w:r>
            <w:rPr>
              <w:sz w:val="24"/>
              <w:szCs w:val="24"/>
            </w:rPr>
            <w:t>,</w:t>
          </w:r>
        </w:sdtContent>
      </w:sdt>
      <w:r>
        <w:rPr>
          <w:sz w:val="24"/>
          <w:szCs w:val="24"/>
        </w:rPr>
        <w:t xml:space="preserve"> you are able to look at the post transfer difference between the transferred spectra and </w:t>
      </w:r>
      <w:sdt>
        <w:sdtPr>
          <w:tag w:val="goog_rdk_37"/>
          <w:id w:val="1920214537"/>
        </w:sdtPr>
        <w:sdtEndPr/>
        <w:sdtContent>
          <w:r>
            <w:rPr>
              <w:sz w:val="24"/>
              <w:szCs w:val="24"/>
            </w:rPr>
            <w:t>I</w:t>
          </w:r>
        </w:sdtContent>
      </w:sdt>
      <w:r>
        <w:rPr>
          <w:sz w:val="24"/>
          <w:szCs w:val="24"/>
        </w:rPr>
        <w:t xml:space="preserve">nstrument 1 to verify </w:t>
      </w:r>
      <w:sdt>
        <w:sdtPr>
          <w:tag w:val="goog_rdk_39"/>
          <w:id w:val="1800958446"/>
        </w:sdtPr>
        <w:sdtEndPr/>
        <w:sdtContent>
          <w:r>
            <w:rPr>
              <w:sz w:val="24"/>
              <w:szCs w:val="24"/>
            </w:rPr>
            <w:t xml:space="preserve">if </w:t>
          </w:r>
        </w:sdtContent>
      </w:sdt>
      <w:r>
        <w:rPr>
          <w:sz w:val="24"/>
          <w:szCs w:val="24"/>
        </w:rPr>
        <w:t xml:space="preserve">you need to make any changes to your transfer. Ideally, the difference range for difference spectra </w:t>
      </w:r>
      <w:sdt>
        <w:sdtPr>
          <w:tag w:val="goog_rdk_38"/>
          <w:id w:val="1825708488"/>
          <w:showingPlcHdr/>
        </w:sdtPr>
        <w:sdtEndPr/>
        <w:sdtContent>
          <w:r w:rsidR="003E42A8">
            <w:t xml:space="preserve">     </w:t>
          </w:r>
        </w:sdtContent>
      </w:sdt>
      <w:r w:rsidR="003E42A8">
        <w:rPr>
          <w:sz w:val="24"/>
          <w:szCs w:val="24"/>
        </w:rPr>
        <w:t xml:space="preserve"> </w:t>
      </w:r>
      <w:r>
        <w:rPr>
          <w:sz w:val="24"/>
          <w:szCs w:val="24"/>
        </w:rPr>
        <w:t>should be between 0 and 0.04 absorbance units, though it may be slightly more variable for inhomogeneous samples than for ground samples.</w:t>
      </w:r>
    </w:p>
    <w:p w:rsidR="00720346" w:rsidRDefault="00A00F11">
      <w:pPr>
        <w:jc w:val="both"/>
        <w:rPr>
          <w:sz w:val="24"/>
          <w:szCs w:val="24"/>
        </w:rPr>
      </w:pPr>
      <w:r>
        <w:rPr>
          <w:noProof/>
          <w:sz w:val="24"/>
          <w:szCs w:val="24"/>
        </w:rPr>
        <w:drawing>
          <wp:inline distT="114300" distB="114300" distL="114300" distR="114300">
            <wp:extent cx="3446427" cy="2667997"/>
            <wp:effectExtent l="0" t="0" r="0" b="0"/>
            <wp:docPr id="38" name="image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10;&#10;Description automatically generated"/>
                    <pic:cNvPicPr preferRelativeResize="0"/>
                  </pic:nvPicPr>
                  <pic:blipFill>
                    <a:blip r:embed="rId26"/>
                    <a:srcRect/>
                    <a:stretch>
                      <a:fillRect/>
                    </a:stretch>
                  </pic:blipFill>
                  <pic:spPr>
                    <a:xfrm>
                      <a:off x="0" y="0"/>
                      <a:ext cx="3446427" cy="2667997"/>
                    </a:xfrm>
                    <a:prstGeom prst="rect">
                      <a:avLst/>
                    </a:prstGeom>
                    <a:ln/>
                  </pic:spPr>
                </pic:pic>
              </a:graphicData>
            </a:graphic>
          </wp:inline>
        </w:drawing>
      </w:r>
    </w:p>
    <w:p w:rsidR="00720346" w:rsidRDefault="00A00F11">
      <w:pPr>
        <w:pStyle w:val="Heading2"/>
        <w:jc w:val="both"/>
      </w:pPr>
      <w:bookmarkStart w:id="15" w:name="_heading=h.35nkun2" w:colFirst="0" w:colLast="0"/>
      <w:bookmarkEnd w:id="15"/>
      <w:r>
        <w:t>SAVING THE TRANSFER METHOD</w:t>
      </w:r>
    </w:p>
    <w:p w:rsidR="00720346" w:rsidRDefault="00A00F11">
      <w:pPr>
        <w:jc w:val="both"/>
        <w:rPr>
          <w:sz w:val="24"/>
          <w:szCs w:val="24"/>
        </w:rPr>
      </w:pPr>
      <w:r>
        <w:rPr>
          <w:sz w:val="24"/>
          <w:szCs w:val="24"/>
        </w:rPr>
        <w:t xml:space="preserve">If you are satisfied with the results of your transfer method, you must first save it via flat file or workspace before it can be applied to a data set.  To save the file you </w:t>
      </w:r>
      <w:r>
        <w:rPr>
          <w:b/>
          <w:sz w:val="24"/>
          <w:szCs w:val="24"/>
        </w:rPr>
        <w:t>must use</w:t>
      </w:r>
      <w:r>
        <w:rPr>
          <w:sz w:val="24"/>
          <w:szCs w:val="24"/>
        </w:rPr>
        <w:t xml:space="preserve"> the file menu on the “calibration transfer” window.  From the file menu, click “save model”, you will then need to </w:t>
      </w:r>
      <w:r>
        <w:rPr>
          <w:sz w:val="24"/>
          <w:szCs w:val="24"/>
        </w:rPr>
        <w:lastRenderedPageBreak/>
        <w:t xml:space="preserve">supply a name and click save.  </w:t>
      </w:r>
      <w:r>
        <w:rPr>
          <w:i/>
          <w:sz w:val="24"/>
          <w:szCs w:val="24"/>
        </w:rPr>
        <w:t>(The default save location is in the workspace, but you can save to your computer's file</w:t>
      </w:r>
      <w:sdt>
        <w:sdtPr>
          <w:tag w:val="goog_rdk_40"/>
          <w:id w:val="154653201"/>
        </w:sdtPr>
        <w:sdtEndPr/>
        <w:sdtContent>
          <w:r>
            <w:rPr>
              <w:i/>
              <w:sz w:val="24"/>
              <w:szCs w:val="24"/>
            </w:rPr>
            <w:t xml:space="preserve"> </w:t>
          </w:r>
        </w:sdtContent>
      </w:sdt>
      <w:r>
        <w:rPr>
          <w:i/>
          <w:sz w:val="24"/>
          <w:szCs w:val="24"/>
        </w:rPr>
        <w:t>system by selecting “file” in the save model dialog box)</w:t>
      </w:r>
    </w:p>
    <w:p w:rsidR="00720346" w:rsidRDefault="00720346">
      <w:pPr>
        <w:jc w:val="both"/>
        <w:rPr>
          <w:sz w:val="24"/>
          <w:szCs w:val="24"/>
        </w:rPr>
      </w:pPr>
    </w:p>
    <w:p w:rsidR="00720346" w:rsidRDefault="00A00F11">
      <w:pPr>
        <w:jc w:val="both"/>
        <w:rPr>
          <w:sz w:val="24"/>
          <w:szCs w:val="24"/>
        </w:rPr>
      </w:pPr>
      <w:r>
        <w:rPr>
          <w:noProof/>
          <w:sz w:val="24"/>
          <w:szCs w:val="24"/>
        </w:rPr>
        <w:drawing>
          <wp:inline distT="114300" distB="114300" distL="114300" distR="114300">
            <wp:extent cx="5924550" cy="2419350"/>
            <wp:effectExtent l="0" t="0" r="0" b="0"/>
            <wp:docPr id="39"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10;&#10;Description automatically generated"/>
                    <pic:cNvPicPr preferRelativeResize="0"/>
                  </pic:nvPicPr>
                  <pic:blipFill>
                    <a:blip r:embed="rId27"/>
                    <a:srcRect/>
                    <a:stretch>
                      <a:fillRect/>
                    </a:stretch>
                  </pic:blipFill>
                  <pic:spPr>
                    <a:xfrm>
                      <a:off x="0" y="0"/>
                      <a:ext cx="5924550" cy="2419350"/>
                    </a:xfrm>
                    <a:prstGeom prst="rect">
                      <a:avLst/>
                    </a:prstGeom>
                    <a:ln/>
                  </pic:spPr>
                </pic:pic>
              </a:graphicData>
            </a:graphic>
          </wp:inline>
        </w:drawing>
      </w:r>
    </w:p>
    <w:p w:rsidR="00720346" w:rsidRDefault="00720346">
      <w:pPr>
        <w:jc w:val="both"/>
        <w:rPr>
          <w:sz w:val="24"/>
          <w:szCs w:val="24"/>
        </w:rPr>
      </w:pPr>
    </w:p>
    <w:p w:rsidR="00720346" w:rsidRDefault="00A00F11">
      <w:pPr>
        <w:jc w:val="both"/>
        <w:rPr>
          <w:sz w:val="24"/>
          <w:szCs w:val="24"/>
        </w:rPr>
      </w:pPr>
      <w:r>
        <w:rPr>
          <w:sz w:val="24"/>
          <w:szCs w:val="24"/>
        </w:rPr>
        <w:t>Once you have saved your file, you can exit the calibration transfer window and move on to applying the transfer method to a dataset.</w:t>
      </w:r>
    </w:p>
    <w:p w:rsidR="00720346" w:rsidRDefault="00A00F11">
      <w:pPr>
        <w:pStyle w:val="Heading2"/>
        <w:jc w:val="both"/>
      </w:pPr>
      <w:bookmarkStart w:id="16" w:name="_heading=h.1ksv4uv" w:colFirst="0" w:colLast="0"/>
      <w:bookmarkEnd w:id="16"/>
      <w:r>
        <w:t>USING A TRANSFER METHOD/FUNCTION</w:t>
      </w:r>
    </w:p>
    <w:p w:rsidR="00720346" w:rsidRDefault="00A00F11">
      <w:pPr>
        <w:jc w:val="both"/>
        <w:rPr>
          <w:sz w:val="24"/>
          <w:szCs w:val="24"/>
        </w:rPr>
      </w:pPr>
      <w:r>
        <w:rPr>
          <w:sz w:val="24"/>
          <w:szCs w:val="24"/>
        </w:rPr>
        <w:t>In order to use the method you have just created, you will need to load (if you have not done so already) the dataset into your Solo Workspace, along with your transfer method.</w:t>
      </w:r>
    </w:p>
    <w:p w:rsidR="00720346" w:rsidRDefault="00A00F11">
      <w:pPr>
        <w:jc w:val="both"/>
        <w:rPr>
          <w:sz w:val="24"/>
          <w:szCs w:val="24"/>
        </w:rPr>
      </w:pPr>
      <w:r>
        <w:rPr>
          <w:sz w:val="24"/>
          <w:szCs w:val="24"/>
        </w:rPr>
        <w:t>To initiate the transfer, simply drag the dataset you wish to transfer onto the method in the workspace browser.</w:t>
      </w:r>
    </w:p>
    <w:p w:rsidR="00720346" w:rsidRDefault="00A00F11">
      <w:pPr>
        <w:jc w:val="both"/>
        <w:rPr>
          <w:sz w:val="24"/>
          <w:szCs w:val="24"/>
        </w:rPr>
      </w:pPr>
      <w:r>
        <w:rPr>
          <w:noProof/>
          <w:sz w:val="24"/>
          <w:szCs w:val="24"/>
        </w:rPr>
        <w:drawing>
          <wp:inline distT="114300" distB="114300" distL="114300" distR="114300">
            <wp:extent cx="5943600" cy="1765300"/>
            <wp:effectExtent l="0" t="0" r="0" b="0"/>
            <wp:docPr id="40"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application&#10;&#10;Description automatically generated"/>
                    <pic:cNvPicPr preferRelativeResize="0"/>
                  </pic:nvPicPr>
                  <pic:blipFill>
                    <a:blip r:embed="rId28"/>
                    <a:srcRect/>
                    <a:stretch>
                      <a:fillRect/>
                    </a:stretch>
                  </pic:blipFill>
                  <pic:spPr>
                    <a:xfrm>
                      <a:off x="0" y="0"/>
                      <a:ext cx="5943600" cy="1765300"/>
                    </a:xfrm>
                    <a:prstGeom prst="rect">
                      <a:avLst/>
                    </a:prstGeom>
                    <a:ln/>
                  </pic:spPr>
                </pic:pic>
              </a:graphicData>
            </a:graphic>
          </wp:inline>
        </w:drawing>
      </w:r>
    </w:p>
    <w:p w:rsidR="00720346" w:rsidRDefault="00A00F11">
      <w:pPr>
        <w:jc w:val="both"/>
        <w:rPr>
          <w:sz w:val="24"/>
          <w:szCs w:val="24"/>
        </w:rPr>
      </w:pPr>
      <w:r>
        <w:rPr>
          <w:sz w:val="24"/>
          <w:szCs w:val="24"/>
        </w:rPr>
        <w:t xml:space="preserve">After saving your data set, you can then work with it directly in Solo, or you can choose to export it to a format of your choice </w:t>
      </w:r>
      <w:sdt>
        <w:sdtPr>
          <w:tag w:val="goog_rdk_41"/>
          <w:id w:val="869343608"/>
        </w:sdtPr>
        <w:sdtEndPr/>
        <w:sdtContent>
          <w:r>
            <w:rPr>
              <w:sz w:val="24"/>
              <w:szCs w:val="24"/>
            </w:rPr>
            <w:t>by</w:t>
          </w:r>
        </w:sdtContent>
      </w:sdt>
      <w:sdt>
        <w:sdtPr>
          <w:tag w:val="goog_rdk_42"/>
          <w:id w:val="1183326589"/>
          <w:showingPlcHdr/>
        </w:sdtPr>
        <w:sdtEndPr/>
        <w:sdtContent>
          <w:r w:rsidR="003E42A8">
            <w:t xml:space="preserve">     </w:t>
          </w:r>
        </w:sdtContent>
      </w:sdt>
      <w:r>
        <w:rPr>
          <w:sz w:val="24"/>
          <w:szCs w:val="24"/>
        </w:rPr>
        <w:t xml:space="preserve"> right clicking on the file.</w:t>
      </w:r>
    </w:p>
    <w:p w:rsidR="00720346" w:rsidRDefault="00A00F11">
      <w:pPr>
        <w:jc w:val="both"/>
        <w:rPr>
          <w:sz w:val="24"/>
          <w:szCs w:val="24"/>
        </w:rPr>
      </w:pPr>
      <w:r>
        <w:rPr>
          <w:noProof/>
        </w:rPr>
        <w:lastRenderedPageBreak/>
        <w:drawing>
          <wp:anchor distT="114300" distB="114300" distL="114300" distR="114300" simplePos="0" relativeHeight="251658240" behindDoc="0" locked="0" layoutInCell="1" hidden="0" allowOverlap="1">
            <wp:simplePos x="0" y="0"/>
            <wp:positionH relativeFrom="column">
              <wp:posOffset>17146</wp:posOffset>
            </wp:positionH>
            <wp:positionV relativeFrom="paragraph">
              <wp:posOffset>203200</wp:posOffset>
            </wp:positionV>
            <wp:extent cx="4384040" cy="2701925"/>
            <wp:effectExtent l="0" t="0" r="0" b="0"/>
            <wp:wrapTopAndBottom distT="114300" distB="1143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384040" cy="2701925"/>
                    </a:xfrm>
                    <a:prstGeom prst="rect">
                      <a:avLst/>
                    </a:prstGeom>
                    <a:ln/>
                  </pic:spPr>
                </pic:pic>
              </a:graphicData>
            </a:graphic>
          </wp:anchor>
        </w:drawing>
      </w:r>
    </w:p>
    <w:p w:rsidR="00720346" w:rsidRDefault="00720346">
      <w:pPr>
        <w:jc w:val="both"/>
        <w:rPr>
          <w:sz w:val="24"/>
          <w:szCs w:val="24"/>
        </w:rPr>
      </w:pPr>
    </w:p>
    <w:p w:rsidR="00720346" w:rsidRDefault="00720346">
      <w:pPr>
        <w:jc w:val="both"/>
        <w:rPr>
          <w:sz w:val="24"/>
          <w:szCs w:val="24"/>
        </w:rPr>
      </w:pPr>
    </w:p>
    <w:p w:rsidR="00720346" w:rsidRDefault="00720346">
      <w:pPr>
        <w:jc w:val="both"/>
      </w:pPr>
    </w:p>
    <w:sectPr w:rsidR="00720346">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593" w:rsidRDefault="006E2593">
      <w:pPr>
        <w:spacing w:after="0" w:line="240" w:lineRule="auto"/>
      </w:pPr>
      <w:r>
        <w:separator/>
      </w:r>
    </w:p>
  </w:endnote>
  <w:endnote w:type="continuationSeparator" w:id="0">
    <w:p w:rsidR="006E2593" w:rsidRDefault="006E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593" w:rsidRDefault="006E2593">
      <w:pPr>
        <w:spacing w:after="0" w:line="240" w:lineRule="auto"/>
      </w:pPr>
      <w:r>
        <w:separator/>
      </w:r>
    </w:p>
  </w:footnote>
  <w:footnote w:type="continuationSeparator" w:id="0">
    <w:p w:rsidR="006E2593" w:rsidRDefault="006E25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346" w:rsidRDefault="00A00F11">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w:drawing>
        <wp:inline distT="0" distB="0" distL="0" distR="0">
          <wp:extent cx="2486025" cy="771525"/>
          <wp:effectExtent l="0" t="0" r="0" b="0"/>
          <wp:docPr id="21" name="image12.png"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png" descr="Logo&#10;&#10;Description automatically generated with low confidence"/>
                  <pic:cNvPicPr preferRelativeResize="0"/>
                </pic:nvPicPr>
                <pic:blipFill>
                  <a:blip r:embed="rId1"/>
                  <a:srcRect/>
                  <a:stretch>
                    <a:fillRect/>
                  </a:stretch>
                </pic:blipFill>
                <pic:spPr>
                  <a:xfrm>
                    <a:off x="0" y="0"/>
                    <a:ext cx="2486025" cy="771525"/>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FE795A"/>
    <w:multiLevelType w:val="multilevel"/>
    <w:tmpl w:val="AD6C82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346"/>
    <w:rsid w:val="003E42A8"/>
    <w:rsid w:val="006E2593"/>
    <w:rsid w:val="00720346"/>
    <w:rsid w:val="0096299D"/>
    <w:rsid w:val="00A00F11"/>
    <w:rsid w:val="00B75713"/>
    <w:rsid w:val="00E12DC5"/>
    <w:rsid w:val="00F17355"/>
    <w:rsid w:val="00FB1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34973A-855D-44C9-B985-98BD2C3A4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6D98"/>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0408A7"/>
    <w:pPr>
      <w:keepNext/>
      <w:keepLines/>
      <w:spacing w:before="40" w:after="0"/>
      <w:outlineLvl w:val="1"/>
    </w:pPr>
    <w:rPr>
      <w:rFonts w:asciiTheme="majorHAnsi" w:eastAsiaTheme="majorEastAsia" w:hAnsiTheme="majorHAnsi" w:cstheme="majorBidi"/>
      <w:i/>
      <w:sz w:val="24"/>
      <w:szCs w:val="26"/>
    </w:rPr>
  </w:style>
  <w:style w:type="paragraph" w:styleId="Heading3">
    <w:name w:val="heading 3"/>
    <w:basedOn w:val="Normal"/>
    <w:next w:val="Normal"/>
    <w:link w:val="Heading3Char"/>
    <w:uiPriority w:val="9"/>
    <w:semiHidden/>
    <w:unhideWhenUsed/>
    <w:qFormat/>
    <w:rsid w:val="00040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08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6593"/>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E75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50C"/>
  </w:style>
  <w:style w:type="paragraph" w:styleId="Footer">
    <w:name w:val="footer"/>
    <w:basedOn w:val="Normal"/>
    <w:link w:val="FooterChar"/>
    <w:uiPriority w:val="99"/>
    <w:unhideWhenUsed/>
    <w:rsid w:val="00AE75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50C"/>
  </w:style>
  <w:style w:type="paragraph" w:styleId="ListParagraph">
    <w:name w:val="List Paragraph"/>
    <w:basedOn w:val="Normal"/>
    <w:uiPriority w:val="34"/>
    <w:qFormat/>
    <w:rsid w:val="00AE750C"/>
    <w:pPr>
      <w:ind w:left="720"/>
      <w:contextualSpacing/>
    </w:pPr>
  </w:style>
  <w:style w:type="character" w:styleId="Hyperlink">
    <w:name w:val="Hyperlink"/>
    <w:basedOn w:val="DefaultParagraphFont"/>
    <w:uiPriority w:val="99"/>
    <w:unhideWhenUsed/>
    <w:rsid w:val="00316593"/>
    <w:rPr>
      <w:b w:val="0"/>
      <w:color w:val="auto"/>
      <w:u w:val="single"/>
    </w:rPr>
  </w:style>
  <w:style w:type="character" w:customStyle="1" w:styleId="UnresolvedMention">
    <w:name w:val="Unresolved Mention"/>
    <w:basedOn w:val="DefaultParagraphFont"/>
    <w:uiPriority w:val="99"/>
    <w:semiHidden/>
    <w:unhideWhenUsed/>
    <w:rsid w:val="00C16668"/>
    <w:rPr>
      <w:color w:val="605E5C"/>
      <w:shd w:val="clear" w:color="auto" w:fill="E1DFDD"/>
    </w:rPr>
  </w:style>
  <w:style w:type="character" w:customStyle="1" w:styleId="Heading1Char">
    <w:name w:val="Heading 1 Char"/>
    <w:basedOn w:val="DefaultParagraphFont"/>
    <w:link w:val="Heading1"/>
    <w:uiPriority w:val="9"/>
    <w:rsid w:val="00BD6D98"/>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316593"/>
    <w:pPr>
      <w:outlineLvl w:val="9"/>
    </w:pPr>
    <w:rPr>
      <w:b w:val="0"/>
      <w:color w:val="2F5496" w:themeColor="accent1" w:themeShade="BF"/>
      <w:sz w:val="32"/>
    </w:rPr>
  </w:style>
  <w:style w:type="paragraph" w:styleId="TOC1">
    <w:name w:val="toc 1"/>
    <w:basedOn w:val="Normal"/>
    <w:next w:val="Normal"/>
    <w:autoRedefine/>
    <w:uiPriority w:val="39"/>
    <w:unhideWhenUsed/>
    <w:rsid w:val="00316593"/>
    <w:pPr>
      <w:spacing w:after="100"/>
    </w:pPr>
    <w:rPr>
      <w:rFonts w:asciiTheme="majorHAnsi" w:hAnsiTheme="majorHAnsi"/>
      <w:b/>
      <w:sz w:val="24"/>
    </w:rPr>
  </w:style>
  <w:style w:type="character" w:customStyle="1" w:styleId="TitleChar">
    <w:name w:val="Title Char"/>
    <w:basedOn w:val="DefaultParagraphFont"/>
    <w:link w:val="Title"/>
    <w:uiPriority w:val="10"/>
    <w:rsid w:val="0031659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08A7"/>
    <w:rPr>
      <w:rFonts w:asciiTheme="majorHAnsi" w:eastAsiaTheme="majorEastAsia" w:hAnsiTheme="majorHAnsi" w:cstheme="majorBidi"/>
      <w:i/>
      <w:sz w:val="24"/>
      <w:szCs w:val="26"/>
    </w:rPr>
  </w:style>
  <w:style w:type="character" w:customStyle="1" w:styleId="Heading3Char">
    <w:name w:val="Heading 3 Char"/>
    <w:basedOn w:val="DefaultParagraphFont"/>
    <w:link w:val="Heading3"/>
    <w:uiPriority w:val="9"/>
    <w:semiHidden/>
    <w:rsid w:val="000408A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408A7"/>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0408A7"/>
    <w:pPr>
      <w:spacing w:after="100"/>
      <w:ind w:left="22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package" Target="embeddings/Microsoft_PowerPoint_Presentation1.pptx"/><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customXml" Target="../customXml/item4.xml"/><Relationship Id="rId8" Type="http://schemas.openxmlformats.org/officeDocument/2006/relationships/hyperlink" Target="mailto:modeling@si-wa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rbJM0mU3Ny85eCiqpWKUYiA+/w==">CgMxLjAaGgoBMBIVChMIBCoPCgtBQUFBX1NZOUY2SRACGhoKATESFQoTCAQqDwoLQUFBQV9TWTlGNk0QARoaCgEyEhUKEwgEKg8KC0FBQUFfU1k5RjZNEAIaGgoBMxIVChMIBCoPCgtBQUFBX1NZOUY2URABGhoKATQSFQoTCAQqDwoLQUFBQV9TWTlGNlUQARoaCgE1EhUKEwgEKg8KC0FBQUFfU1k5RjZVEAIaGgoBNhIVChMIBCoPCgtBQUFBX1NZOUY2WRABGhoKATcSFQoTCAQqDwoLQUFBQV9TWTlGNmMQAhoaCgE4EhUKEwgEKg8KC0FBQUFfU1k5RjZnEAEaGgoBORIVChMIBCoPCgtBQUFBX1NZOUY2ZxACGhsKAjEwEhUKEwgEKg8KC0FBQUFfU1k5RjZzEAEaGwoCMTESFQoTCAQqDwoLQUFBQV9TWTlGNnMQAhobCgIxMhIVChMIBCoPCgtBQUFBX1NZOUY2axACGhsKAjEzEhUKEwgEKg8KC0FBQUFfU1k5RjZrEAIaGwoCMTQSFQoTCAQqDwoLQUFBQV9TWTlGNjAQAhobCgIxNRIVChMIBCoPCgtBQUFBX1NZOUY2NBACGhsKAjE2EhUKEwgEKg8KC0FBQUFfU1k5RjY4EAIaGwoCMTcSFQoTCAQqDwoLQUFBQV9TWTlGN0EQARobCgIxOBIVChMIBCoPCgtBQUFBX1NZOUY3QRACGhsKAjE5EhUKEwgEKg8KC0FBQUFfU1k5RjdFEAIaGwoCMjASFQoTCAQqDwoLQUFBQV9TWTlGN0kQARobCgIyMRIVChMIBCoPCgtBQUFBX1NZOUY3SRACGhsKAjIyEhUKEwgEKg8KC0FBQUFfU1k5RjdNEAEaGwoCMjMSFQoTCAQqDwoLQUFBQV9TWTlGN00QAhobCgIyNBIVChMIBCoPCgtBQUFBX1NZOUY3VRABGhsKAjI1EhUKEwgEKg8KC0FBQUFfU1k5RjdVEAIaGwoCMjYSFQoTCAQqDwoLQUFBQV9TWTlGN1kQARobCgIyNxIVChMIBCoPCgtBQUFBX1NZOUY3WRACGhsKAjI4EhUKEwgEKg8KC0FBQUFfU1k5RjdjEAEaGwoCMjkSFQoTCAQqDwoLQUFBQV9TWTlGN2sQARobCgIzMBIVChMIBCoPCgtBQUFBX1NZOUY3ZxABGhsKAjMxEhUKEwgEKg8KC0FBQUFfU1k5RjdnEAIaGwoCMzISFQoTCAQqDwoLQUFBQV9TWTlGN28QARobCgIzMxIVChMIBCoPCgtBQUFBX1NZOUY3bxACGhsKAjM0EhUKEwgEKg8KC0FBQUFfU1k5RjdzEAEaGwoCMzUSFQoTCAQqDwoLQUFBQV9TWTlGN3MQAhobCgIzNhIVChMIBCoPCgtBQUFBX1NZOUY3dxABGhsKAjM3EhUKEwgEKg8KC0FBQUFfU1k5RjcwEAEaGwoCMzgSFQoTCAQqDwoLQUFBQV9TWTlGNzAQAhobCgIzORIVChMIBCoPCgtBQUFBX1NZOUY3NBABGhsKAjQwEhUKEwgEKg8KC0FBQUFfU1k5Rjc4EAEaGwoCNDESFQoTCAQqDwoLQUFBQV9TWTlGOEEQARobCgI0MhIVChMIBCoPCgtBQUFBX1NZOUY4QRACIokCCgtBQUFBX1NZOUY2WRLVAQoLQUFBQV9TWTlGNlkSC0FBQUFfU1k5RjZZGg0KCXRleHQvaHRtbBIAIg4KCnRleHQvcGxhaW4SACobIhUxMDQ4MDY2MTgxNDE4NjM2NDM5MDAoADgAMKGK7I25MTi6keyNuTFKOwokYXBwbGljYXRpb24vdm5kLmdvb2dsZS1hcHBzLmRvY3MubWRzGhPC19rkAQ0aCwoHCgFzEAEYABABWgwyd2FieWlueW1kanZyAiAAeACCARRzdWdnZXN0LmsxbW94YWJoYWlraJoBBggAEAAYABihiuyNuTEgupHsjbkxQhRzdWdnZXN0LmsxbW94YWJoYWlraCKIAgoLQUFBQV9TWTlGNzgS1AEKC0FBQUFfU1k5Rjc4EgtBQUFBX1NZOUY3OBoNCgl0ZXh0L2h0bWwSACIOCgp0ZXh0L3BsYWluEgAqGyIVMTA0ODA2NjE4MTQxODYzNjQzOTAwKAA4ADD4r5WOuTE4yraVjrkxSjoKJGFwcGxpY2F0aW9uL3ZuZC5nb29nbGUtYXBwcy5kb2NzLm1kcxoSwtfa5AEMGgoKBgoAEBQYABABWgxtNDlsOGg0NzJrZmpyAiAAeACCARRzdWdnZXN0LjhxMjlseHE0MDU4c5oBBggAEAAYABj4r5WOuTEgyraVjrkxQhRzdWdnZXN0LjhxMjlseHE0MDU4cyKJAgoLQUFBQV9TWTlGN3cS1QEKC0FBQUFfU1k5Rjd3EgtBQUFBX1NZOUY3dxoNCgl0ZXh0L2h0bWwSACIOCgp0ZXh0L3BsYWluEgAqGyIVMTA0ODA2NjE4MTQxODYzNjQzOTAwKAA4ADDZjJGOuTE40JORjrkxSjsKJGFwcGxpY2F0aW9uL3ZuZC5nb29nbGUtYXBwcy5kb2NzLm1kcxoTwtfa5AENGgsKBwoBLBABGAAQAVoMeW5zYWh2MXZzcnZpcgIgAHgAggEUc3VnZ2VzdC5lNGE2OG5kcnJ6OHCaAQYIABAAGAAY2YyRjrkxINCTkY65MUIUc3VnZ2VzdC5lNGE2OG5kcnJ6OHAikwIKC0FBQUFfU1k5RjZVEt8BCgtBQUFBX1NZOUY2VRILQUFBQV9TWTlGNlUaDQoJdGV4dC9odG1sEgAiDgoKdGV4dC9wbGFpbhIAKhsiFTEwNDgwNjYxODE0MTg2MzY0MzkwMCgAOAAwzvDrjbkxOIn46425MUpFCiRhcHBsaWNhdGlvbi92bmQuZ29vZ2xlLWFwcHMuZG9jcy5tZHMaHcLX2uQBFwoVCggKAnNlEAEYABIHCgF5EAEYABgBWgxndTJvdjQ5dmVoeWhyAiAAeACCARRzdWdnZXN0Lnc1MWMwYjRyMmFqdJoBBggAEAAYABjO8OuNuTEgifjrjbkxQhRzdWdnZXN0Lnc1MWMwYjRyMmFqdCKJAgoLQUFBQV9TWTlGNmMS1QEKC0FBQUFfU1k5RjZjEgtBQUFBX1NZOUY2YxoNCgl0ZXh0L2h0bWwSACIOCgp0ZXh0L3BsYWluEgAqGyIVMTA0ODA2NjE4MTQxODYzNjQzOTAwKAA4ADCyoeyNuTE46KfsjbkxSjsKJGFwcGxpY2F0aW9uL3ZuZC5nb29nbGUtYXBwcy5kb2NzLm1kcxoTwtfa5AENEgsKBwoBcxABGAAQAVoMc2VpeW8wbnF1YTZ5cgIgAHgAggEUc3VnZ2VzdC5oaDY1Zm1mN3ZudzOaAQYIABAAGAAYsqHsjbkxIOin7I25MUIUc3VnZ2VzdC5oaDY1Zm1mN3ZudzMikgIKC0FBQUFfU1k5RjdBEt4BCgtBQUFBX1NZOUY3QRILQUFBQV9TWTlGN0EaDQoJdGV4dC9odG1sEgAiDgoKdGV4dC9wbGFpbhIAKhsiFTEwNDgwNjYxODE0MTg2MzY0MzkwMCgAOAAwxc37jbkxOJjb+425MUpECiRhcHBsaWNhdGlvbi92bmQuZ29vZ2xlLWFwcHMuZG9jcy5tZHMaHMLX2uQBFgoUCgcKAUkQARgAEgcKAWkQARgAGAFaDHd6Z3hpbmZreno0N3ICIAB4AIIBFHN1Z2dlc3QuZ3RwbXVndzRxdDlzmgEGCAAQABgAGMXN+425MSCY2/uNuTFCFHN1Z2dlc3QuZ3RwbXVndzRxdDlzIokCCgtBQUFBX1NZOUY3axLVAQoLQUFBQV9TWTlGN2sSC0FBQUFfU1k5RjdrGg0KCXRleHQvaHRtbBIAIg4KCnRleHQvcGxhaW4SACobIhUxMDQ4MDY2MTgxNDE4NjM2NDM5MDAoADgAMPWXj465MTiRno+OuTFKOwokYXBwbGljYXRpb24vdm5kLmdvb2dsZS1hcHBzLmRvY3MubWRzGhPC19rkAQ0aCwoHCgFhEAEYABABWgxvbTRwNWxzZGxhZ2RyAiAAeACCARRzdWdnZXN0Lm4xaTgwZGtjYTB6NZoBBggAEAAYABj1l4+OuTEgkZ6PjrkxQhRzdWdnZXN0Lm4xaTgwZGtjYTB6NSKLAgoLQUFBQV9TWTlGNkkS1wEKC0FBQUFfU1k5RjZJEgtBQUFBX1NZOUY2SRoNCgl0ZXh0L2h0bWwSACIOCgp0ZXh0L3BsYWluEgAqGyIVMTA0ODA2NjE4MTQxODYzNjQzOTAwKAA4ADC3wOWNuTE4s83ljbkxSj0KJGFwcGxpY2F0aW9uL3ZuZC5nb29nbGUtYXBwcy5kb2NzLm1kcxoVwtfa5AEPEg0KCQoDdGhlEAEYABABWgxteWVydmhpeTFqc29yAiAAeACCARRzdWdnZXN0LmR3NmV3Z2h0cnRwZ5oBBggAEAAYABi3wOWNuTEgs83ljbkxQhRzdWdnZXN0LmR3NmV3Z2h0cnRwZyKyAgoLQUFBQV9TWTlGN2cS/gEKC0FBQUFfU1k5RjdnEgtBQUFBX1NZOUY3ZxoNCgl0ZXh0L2h0bWwSACIOCgp0ZXh0L3BsYWluEgAqGyIVMTA0ODA2NjE4MTQxODYzNjQzOTAwKAA4ADD/go+OuTE4wIuPjrkxSmUKJGFwcGxpY2F0aW9uL3ZuZC5nb29nbGUtYXBwcy5kb2NzLm1kcxo9wtfa5AE3CjUKFwoRdHJhbnNmZXIgZnVuY3Rpb24QARgAEhgKEnRyYW5zZmVyLCBmdW5jdGlvbhABGAAYAVoLYzZmbXFiOGVnZ29yAiAAeACCARRzdWdnZXN0LmlycnAyaHV6M2puapoBBggAEAAYABj/go+OuTEgwIuPjrkxQhRzdWdnZXN0LmlycnAyaHV6M2puaiKKAgoLQUFBQV9TWTlGNzQS1gEKC0FBQUFfU1k5Rjc0EgtBQUFBX1NZOUY3NBoNCgl0ZXh0L2h0bWwSACIOCgp0ZXh0L3BsYWluEgAqGyIVMTA0ODA2NjE4MTQxODYzNjQzOTAwKAA4ADCd1ZKOuTE4nNuSjrkxSjwKJGFwcGxpY2F0aW9uL3ZuZC5nb29nbGUtYXBwcy5kb2NzLm1kcxoUwtfa5AEOGgwKCAoCaWYQARgAEAFaDGttZXIxZHIya2Ezd3ICIAB4AIIBFHN1Z2dlc3QuZmpsOHBhY2ZwcW5omgEGCAAQABgAGJ3Vko65MSCc25KOuTFCFHN1Z2dlc3QuZmpsOHBhY2ZwcW5oIpICCgtBQUFBX1NZOUY3cxLeAQoLQUFBQV9TWTlGN3MSC0FBQUFfU1k5RjdzGg0KCXRleHQvaHRtbBIAIg4KCnRleHQvcGxhaW4SACobIhUxMDQ4MDY2MTgxNDE4NjM2NDM5MDAoADgAMIadkI65MTikrZCOuTFKRAokYXBwbGljYXRpb24vdm5kLmdvb2dsZS1hcHBzLmRvY3MubWRzGhzC19rkARYKFAoHCgFCEAEYABIHCgFiEAEYABgBWgxqYXYxYXVsMndlZ2pyAiAAeACCARRzdWdnZXN0LjNydHU3NDNuZ25xMZoBBggAEAAYABiGnZCOuTEgpK2QjrkxQhRzdWdnZXN0LjNydHU3NDNuZ25xMSKLAgoLQUFBQV9TWTlGNlES1wEKC0FBQUFfU1k5RjZREgtBQUFBX1NZOUY2URoNCgl0ZXh0L2h0bWwSACIOCgp0ZXh0L3BsYWluEgAqGyIVMTA0ODA2NjE4MTQxODYzNjQzOTAwKAA4ADCD5eaNuTE4h+vmjbkxSj0KJGFwcGxpY2F0aW9uL3ZuZC5nb29nbGUtYXBwcy5kb2NzLm1kcxoVwtfa5AEPGg0KCQoDdGhlEAEYABABWgwzdXRrbHNhOWx1YXVyAiAAeACCARRzdWdnZXN0LnhvOWhweG14N2Vna5oBBggAEAAYABiD5eaNuTEgh+vmjbkxQhRzdWdnZXN0LnhvOWhweG14N2VnayKSAgoLQUFBQV9TWTlGNzAS3gEKC0FBQUFfU1k5RjcwEgtBQUFBX1NZOUY3MBoNCgl0ZXh0L2h0bWwSACIOCgp0ZXh0L3BsYWluEgAqGyIVMTA0ODA2NjE4MTQxODYzNjQzOTAwKAA4ADC195GOuTE4tP+RjrkxSkQKJGFwcGxpY2F0aW9uL3ZuZC5nb29nbGUtYXBwcy5kb2NzLm1kcxocwtfa5AEWChQKBwoBSRABGAASBwoBaRABGAAYAVoMcjNqZXp1cXI0NThscgIgAHgAggEUc3VnZ2VzdC41azQ4OXpsdGRoazmaAQYIABAAGAAYtfeRjrkxILT/kY65MUIUc3VnZ2VzdC41azQ4OXpsdGRoazkikQIKC0FBQUFfU1k5RjdvEt0BCgtBQUFBX1NZOUY3bxILQUFBQV9TWTlGN28aDQoJdGV4dC9odG1sEgAiDgoKdGV4dC9wbGFpbhIAKhsiFTEwNDgwNjYxODE0MTg2MzY0MzkwMCgAOAAw7IaQjrkxOMKTkI65MUpECiRhcHBsaWNhdGlvbi92bmQuZ29vZ2xlLWFwcHMuZG9jcy5tZHMaHMLX2uQBFgoUCgcKAS4QARgAEgcKASwQARgAGAFaC3d1NHhqa2hla3ppcgIgAHgAggEUc3VnZ2VzdC53dWx5eGo5NDB4NGaaAQYIABAAGAAY7IaQjrkxIMKTkI65MUIUc3VnZ2VzdC53dWx5eGo5NDB4NGYioAIKC0FBQUFfU1k5RjZNEuwBCgtBQUFBX1NZOUY2TRILQUFBQV9TWTlGNk0aDQoJdGV4dC9odG1sEgAiDgoKdGV4dC9wbGFpbhIAKhsiFTEwNDgwNjYxODE0MTg2MzY0MzkwMCgAOAAwj5DmjbkxONWw5o25MUpSCiRhcHBsaWNhdGlvbi92bmQuZ29vZ2xlLWFwcHMuZG9jcy5tZHMaKsLX2uQBJAoiChEKC3JlZmVycmVkIHRvEAEYABILCgVuYW1lZBABGAAYAVoMdTZwZ3dmY29ybXg3cgIgAHgAggEUc3VnZ2VzdC43d2N6cHJ4bHQ5aDaaAQYIABAAGAAYj5DmjbkxINWw5o25MUIUc3VnZ2VzdC43d2N6cHJ4bHQ5aDYimAIKC0FBQUFfU1k5RjdZEuQBCgtBQUFBX1NZOUY3WRILQUFBQV9TWTlGN1kaDQoJdGV4dC9odG1sEgAiDgoKdGV4dC9wbGFpbhIAKhsiFTEwNDgwNjYxODE0MTg2MzY0MzkwMCgAOAAw5dmFjrkxOITzhY65MUpKCiRhcHBsaWNhdGlvbi92bmQuZ29vZ2xlLWFwcHMuZG9jcy5tZHMaIsLX2uQBHAoaCg0KB3NlIHRoZW4QARgAEgcKAXkQARgAGAFaDDQ1dDI2cXgzcWtoZnICIAB4AIIBFHN1Z2dlc3QubG0zcTlvMTc0Ymw5mgEGCAAQABgAGOXZhY65MSCE84WOuTFCFHN1Z2dlc3QubG0zcTlvMTc0Ymw5IosCCgtBQUFBX1NZOUY2OBLXAQoLQUFBQV9TWTlGNjgSC0FBQUFfU1k5RjY4Gg0KCXRleHQvaHRtbBIAIg4KCnRleHQvcGxhaW4SACobIhUxMDQ4MDY2MTgxNDE4NjM2NDM5MDAoADgAMLe3+425MTisv/uNuTFKPQokYXBwbGljYXRpb24vdm5kLmdvb2dsZS1hcHBzLmRvY3MubWRzGhXC19rkAQ8SDQoJCgN0aGUQARgAEAFaDHRmNzIxYWRuY2FtOHICIAB4AIIBFHN1Z2dlc3QuYnNrMmRyYm4xYmRimgEGCAAQABgAGLe3+425MSCsv/uNuTFCFHN1Z2dlc3QuYnNrMmRyYm4xYmRiIpsCCgtBQUFBX1NZOUY3VRLnAQoLQUFBQV9TWTlGN1USC0FBQUFfU1k5RjdVGg0KCXRleHQvaHRtbBIAIg4KCnRleHQvcGxhaW4SACobIhUxMDQ4MDY2MTgxNDE4NjM2NDM5MDAoADgAMJXphI65MTjN/YSOuTFKTQokYXBwbGljYXRpb24vdm5kLmdvb2dsZS1hcHBzLmRvY3MubWRzGiXC19rkAR8KHQoMCgZzaG91bGQQARgAEgsKBXdvdWxkEAEYABgBWgxza2lvNDZuNmpraDVyAiAAeACCARRzdWdnZXN0LnI4bnZjbjlmYTl1d5oBBggAEAAYABiV6YSOuTEgzf2EjrkxQhRzdWdnZXN0LnI4bnZjbjlmYTl1dyKTAgoLQUFBQV9TWTlGNjQS3wEKC0FBQUFfU1k5RjY0EgtBQUFBX1NZOUY2NBoNCgl0ZXh0L2h0bWwSACIOCgp0ZXh0L3BsYWluEgAqGyIVMTA0ODA2NjE4MTQxODYzNjQzOTAwKAA4ADDYt/qNuTE4ktP6jbkxSkUKJGFwcGxpY2F0aW9uL3ZuZC5nb29nbGUtYXBwcy5kb2NzLm1kcxodwtfa5AEXEhUKEQoLYXJlIGFibGUgdG8QARgAEAFaDHkxcjlkc2d6NDFjeXICIAB4AIIBFHN1Z2dlc3QueHduMHVzbHRmMTBvmgEGCAAQABgAGNi3+o25MSCS0/qNuTFCFHN1Z2dlc3QueHduMHVzbHRmMTBvIokCCgtBQUFBX1NZOUY3YxLVAQoLQUFBQV9TWTlGN2MSC0FBQUFfU1k5RjdjGg0KCXRleHQvaHRtbBIAIg4KCnRleHQvcGxhaW4SACobIhUxMDQ4MDY2MTgxNDE4NjM2NDM5MDAoADgAMJ+si465MTjpsouOuTFKOwokYXBwbGljYXRpb24vdm5kLmdvb2dsZS1hcHBzLmRvY3MubWRzGhPC19rkAQ0aCwoHCgEsEAEYABABWgx3c290MWRkb2s2d3VyAiAAeACCARRzdWdnZXN0Lnlnc25pNnJ3c3p1NpoBBggAEAAYABifrIuOuTEg6bKLjrkxQhRzdWdnZXN0Lnlnc25pNnJ3c3p1NiKVAgoLQUFBQV9TWTlGOEES4QEKC0FBQUFfU1k5RjhBEgtBQUFBX1NZOUY4QRoNCgl0ZXh0L2h0bWwSACIOCgp0ZXh0L3BsYWluEgAqGyIVMTA0ODA2NjE4MTQxODYzNjQzOTAwKAA4ADC8vpeOuTE44MSXjrkxSkcKJGFwcGxpY2F0aW9uL3ZuZC5nb29nbGUtYXBwcy5kb2NzLm1kcxofwtfa5AEZChcKCAoCYnkQARgAEgkKA3ZpYRABGAAYAVoMdWd0ZnlsOWlzZnA4cgIgAHgAggEUc3VnZ2VzdC5oZnIwOXhnbjFydGyaAQYIABAAGAAYvL6XjrkxIODEl465MUIUc3VnZ2VzdC5oZnIwOXhnbjFydGwirgIKC0FBQUFfU1k5RjZrEvoBCgtBQUFBX1NZOUY2axILQUFBQV9TWTlGNmsaDQoJdGV4dC9odG1sEgAiDgoKdGV4dC9wbGFpbhIAKhsiFTEwNDgwNjYxODE0MTg2MzY0MzkwMCgAOAAwwcXxjbkxOLHN8Y25MUpgCiRhcHBsaWNhdGlvbi92bmQuZ29vZ2xlLWFwcHMuZG9jcy5tZHMaOMLX2uQBMhIwCiwKJkNocmlzIExhcmtpbjogY2hyaXMubGFya2luQHNpLXdhcmUuY29tEAEYABABWgxoaHh3MmttZmdkNmtyAiAAeACCARRzdWdnZXN0LjltNmowY2g0ZmE4eZoBBggAEAAYABjBxfGNuTEgsc3xjbkxQhRzdWdnZXN0LjltNmowY2g0ZmE4eSKZAgoLQUFBQV9TWTlGN0kS5QEKC0FBQUFfU1k5RjdJEgtBQUFBX1NZOUY3SRoNCgl0ZXh0L2h0bWwSACIOCgp0ZXh0L3BsYWluEgAqGyIVMTA0ODA2NjE4MTQxODYzNjQzOTAwKAA4ADC/yYGOuTE45tGBjrkxSksKJGFwcGxpY2F0aW9uL3ZuZC5nb29nbGUtYXBwcy5kb2NzLm1kcxojwtfa5AEdChsKCQoDaXRzEAEYABIMCgZpdOKAmXMQARgAGAFaDHlidnduamVmNjV5dXICIAB4AIIBFHN1Z2dlc3QuNzcxMGl3Mzl3eDQ1mgEGCAAQABgAGL/JgY65MSDm0YGOuTFCFHN1Z2dlc3QuNzcxMGl3Mzl3eDQ1IqECCgtBQUFBX1NZOUY2ZxLtAQoLQUFBQV9TWTlGNmcSC0FBQUFfU1k5RjZnGg0KCXRleHQvaHRtbBIAIg4KCnRleHQvcGxhaW4SACobIhUxMDQ4MDY2MTgxNDE4NjM2NDM5MDAoADgAMJS37I25MTjxveyNuTFKUwokYXBwbGljYXRpb24vdm5kLmdvb2dsZS1hcHBzLmRvY3MubWRzGivC19rkASUKIwoOCghpbnRlbmRlZBABGAASDwoJaW50ZW5kZW50EAEYABgBWgx1dWltdzhyeXdxM3ZyAiAAeACCARRzdWdnZXN0LjRlcG94cmdjdm53bZoBBggAEAAYABiUt+yNuTEg8b3sjbkxQhRzdWdnZXN0LjRlcG94cmdjdm53bSKJAgoLQUFBQV9TWTlGN0US1QEKC0FBQUFfU1k5RjdFEgtBQUFBX1NZOUY3RRoNCgl0ZXh0L2h0bWwSACIOCgp0ZXh0L3BsYWluEgAqGyIVMTA0ODA2NjE4MTQxODYzNjQzOTAwKAA4ADCD7vyNuTE48/b8jbkxSjsKJGFwcGxpY2F0aW9uL3ZuZC5nb29nbGUtYXBwcy5kb2NzLm1kcxoTwtfa5AENEgsKBwoBLBABGAAQAVoMZGIzajJhYXhqbnllcgIgAHgAggEUc3VnZ2VzdC5mNnQ4NnlueHRzcGaaAQYIABAAGAAYg+78jbkxIPP2/I25MUIUc3VnZ2VzdC5mNnQ4NnlueHRzcGYiuQIKC0FBQUFfU1k5RjZzEoUCCgtBQUFBX1NZOUY2cxILQUFBQV9TWTlGNnMaDQoJdGV4dC9odG1sEgAiDgoKdGV4dC9wbGFpbhIAKhsiFTEwNDgwNjYxODE0MTg2MzY0MzkwMCgAOAAwr97yjbkxOMf58425MUprCiRhcHBsaWNhdGlvbi92bmQuZ29vZ2xlLWFwcHMuZG9jcy5tZHMaQ8LX2uQBPQo7Ch4KGHRoZSBhcHBsaWNhdGlvbnMgdGVhbSBhdBABGAASFwoRb2YgdGhlIGZvbGxvd2luZzoQARgAGAFaDHoweGpwNmI5OW16Y3ICIAB4AIIBFHN1Z2dlc3QuZTNpN3RucWx1NGJlmgEGCAAQABgAGK/e8o25MSDH+fONuTFCFHN1Z2dlc3QuZTNpN3RucWx1NGJlIpYCCgtBQUFBX1NZOUY2MBLiAQoLQUFBQV9TWTlGNjASC0FBQUFfU1k5RjYwGg0KCXRleHQvaHRtbBIAIg4KCnRleHQvcGxhaW4SACobIhUxMDQ4MDY2MTgxNDE4NjM2NDM5MDAoADgAMNDY+I25MTiEufmNuTFKSAokYXBwbGljYXRpb24vdm5kLmdvb2dsZS1hcHBzLmRvY3MubWRzGiDC19rkARoSGAoUCg5tYWtlIHN1cmUgdGhleRABGAAQAVoMMWZnOHB5ZWhvaG11cgIgAHgAggEUc3VnZ2VzdC5oY3BobzhqbWpzeDCaAQYIABAAGAAY0Nj4jbkxIIS5+Y25MUIUc3VnZ2VzdC5oY3BobzhqbWpzeDAikgIKC0FBQUFfU1k5RjdNEt4BCgtBQUFBX1NZOUY3TRILQUFBQV9TWTlGN00aDQoJdGV4dC9odG1sEgAiDgoKdGV4dC9wbGFpbhIAKhsiFTEwNDgwNjYxODE0MTg2MzY0MzkwMCgAOAAwmfKCjrkxOI+yg465MUpECiRhcHBsaWNhdGlvbi92bmQuZ29vZ2xlLWFwcHMuZG9jcy5tZHMaHMLX2uQBFgoUCgcKAUkQARgAEgcKAWkQARgAGAFaDHNmbzhtMWxyZGNwdHICIAB4AIIBFHN1Z2dlc3QucXZ2Njk0YTE2eXdqmgEGCAAQABgAGJnygo65MSCPsoOOuTFCFHN1Z2dlc3QucXZ2Njk0YTE2eXdqMghoLmdqZGd4czIJaC4zMGowemxsMgloLjFmb2I5dGUyCWguM3pueXNoNzIJaC4yZXQ5MnAwMghoLnR5amN3dDIJaC4zZHk2dmttMgloLjF0M2g1c2YyCWguNGQzNG9nODIJaC4yczhleW8xMgloLjE3ZHA4dnUyCWguM3JkY3JqbjIJaC4yNmluMXJnMghoLmxueGJ6OTIJaC4zNW5rdW4yMgloLjFrc3Y0dXY4AGomChRzdWdnZXN0LmsxbW94YWJoYWlraBIOQ2Fyb2xpbmUgQ2hpc21qJgoUc3VnZ2VzdC44cTI5bHhxNDA1OHMSDkNhcm9saW5lIENoaXNtaiYKFHN1Z2dlc3QuZTRhNjhuZHJyejhwEg5DYXJvbGluZSBDaGlzbWomChRzdWdnZXN0Lnc1MWMwYjRyMmFqdBIOQ2Fyb2xpbmUgQ2hpc21qJgoUc3VnZ2VzdC5oaDY1Zm1mN3ZudzMSDkNhcm9saW5lIENoaXNtaiYKFHN1Z2dlc3QuZ3RwbXVndzRxdDlzEg5DYXJvbGluZSBDaGlzbWomChRzdWdnZXN0Lm4xaTgwZGtjYTB6NRIOQ2Fyb2xpbmUgQ2hpc21qJgoUc3VnZ2VzdC5kdzZld2dodHJ0cGcSDkNhcm9saW5lIENoaXNtaiYKFHN1Z2dlc3QuaXJycDJodXozam5qEg5DYXJvbGluZSBDaGlzbWomChRzdWdnZXN0LmZqbDhwYWNmcHFuaBIOQ2Fyb2xpbmUgQ2hpc21qJgoUc3VnZ2VzdC4zcnR1NzQzbmducTESDkNhcm9saW5lIENoaXNtaiYKFHN1Z2dlc3QueG85aHB4bXg3ZWdrEg5DYXJvbGluZSBDaGlzbWomChRzdWdnZXN0LjVrNDg5emx0ZGhrORIOQ2Fyb2xpbmUgQ2hpc21qJgoUc3VnZ2VzdC53dWx5eGo5NDB4NGYSDkNhcm9saW5lIENoaXNtaiYKFHN1Z2dlc3QuN3djenByeGx0OWg2Eg5DYXJvbGluZSBDaGlzbWomChRzdWdnZXN0LmxtM3E5bzE3NGJsORIOQ2Fyb2xpbmUgQ2hpc21qJgoUc3VnZ2VzdC5ic2syZHJibjFiZGISDkNhcm9saW5lIENoaXNtaiYKFHN1Z2dlc3QucjhudmNuOWZhOXV3Eg5DYXJvbGluZSBDaGlzbWomChRzdWdnZXN0Lnh3bjB1c2x0ZjEwbxIOQ2Fyb2xpbmUgQ2hpc21qJgoUc3VnZ2VzdC55Z3NuaTZyd3N6dTYSDkNhcm9saW5lIENoaXNtaiYKFHN1Z2dlc3QuaGZyMDl4Z24xcnRsEg5DYXJvbGluZSBDaGlzbWomChRzdWdnZXN0LjltNmowY2g0ZmE4eRIOQ2Fyb2xpbmUgQ2hpc21qJgoUc3VnZ2VzdC43NzEwaXczOXd4NDUSDkNhcm9saW5lIENoaXNtaiYKFHN1Z2dlc3QuNGVwb3hyZ2N2bndtEg5DYXJvbGluZSBDaGlzbWomChRzdWdnZXN0LmY2dDg2eW54dHNwZhIOQ2Fyb2xpbmUgQ2hpc21qJgoUc3VnZ2VzdC5lM2k3dG5xbHU0YmUSDkNhcm9saW5lIENoaXNtaiYKFHN1Z2dlc3QuaGNwaG84am1qc3gwEg5DYXJvbGluZSBDaGlzbWomChRzdWdnZXN0Lm5xdzUwaHc4dmdkMBIOQ2Fyb2xpbmUgQ2hpc21qJgoUc3VnZ2VzdC5xdnY2OTRhMTZ5d2oSDkNhcm9saW5lIENoaXNtciExLWJhdWg2QVlNbHUxcGNJOWw5S1FfSE4yd2x2NmdLWk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9C6571533617C34F891E2C1568F37EF1" ma:contentTypeVersion="12" ma:contentTypeDescription="Create a new document." ma:contentTypeScope="" ma:versionID="8f410a7b7814518b5c5c77a96fd9facb">
  <xsd:schema xmlns:xsd="http://www.w3.org/2001/XMLSchema" xmlns:xs="http://www.w3.org/2001/XMLSchema" xmlns:p="http://schemas.microsoft.com/office/2006/metadata/properties" xmlns:ns2="955327a5-4a19-42c6-aae2-0574f5c973aa" xmlns:ns3="f35f42a3-654a-43b6-9aae-5e1e34d98fb6" targetNamespace="http://schemas.microsoft.com/office/2006/metadata/properties" ma:root="true" ma:fieldsID="a8e11a6497bdba50b6484d8be3b919ce" ns2:_="" ns3:_="">
    <xsd:import namespace="955327a5-4a19-42c6-aae2-0574f5c973aa"/>
    <xsd:import namespace="f35f42a3-654a-43b6-9aae-5e1e34d98fb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327a5-4a19-42c6-aae2-0574f5c97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b2685139-4801-4916-80a9-e58292a5b05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5f42a3-654a-43b6-9aae-5e1e34d98fb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67b8727-5434-4e0d-9b1e-972d2e800d4b}" ma:internalName="TaxCatchAll" ma:showField="CatchAllData" ma:web="f35f42a3-654a-43b6-9aae-5e1e34d98f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55327a5-4a19-42c6-aae2-0574f5c973aa">
      <Terms xmlns="http://schemas.microsoft.com/office/infopath/2007/PartnerControls"/>
    </lcf76f155ced4ddcb4097134ff3c332f>
    <TaxCatchAll xmlns="f35f42a3-654a-43b6-9aae-5e1e34d98fb6"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A27F95-0429-4AA0-A8C9-89010D8FFA68}"/>
</file>

<file path=customXml/itemProps3.xml><?xml version="1.0" encoding="utf-8"?>
<ds:datastoreItem xmlns:ds="http://schemas.openxmlformats.org/officeDocument/2006/customXml" ds:itemID="{041368B7-150E-42D0-AB1B-D75A9625C7CC}"/>
</file>

<file path=customXml/itemProps4.xml><?xml version="1.0" encoding="utf-8"?>
<ds:datastoreItem xmlns:ds="http://schemas.openxmlformats.org/officeDocument/2006/customXml" ds:itemID="{4DD61F66-040C-493E-8BE9-C23C1841F235}"/>
</file>

<file path=docProps/app.xml><?xml version="1.0" encoding="utf-8"?>
<Properties xmlns="http://schemas.openxmlformats.org/officeDocument/2006/extended-properties" xmlns:vt="http://schemas.openxmlformats.org/officeDocument/2006/docPropsVTypes">
  <Template>Normal</Template>
  <TotalTime>9</TotalTime>
  <Pages>1</Pages>
  <Words>1705</Words>
  <Characters>9722</Characters>
  <Application>Microsoft Office Word</Application>
  <DocSecurity>0</DocSecurity>
  <Lines>81</Lines>
  <Paragraphs>22</Paragraphs>
  <ScaleCrop>false</ScaleCrop>
  <Company/>
  <LinksUpToDate>false</LinksUpToDate>
  <CharactersWithSpaces>11405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Marcal Plans</dc:creator>
  <cp:lastModifiedBy>Marcal</cp:lastModifiedBy>
  <cp:revision>7</cp:revision>
  <dcterms:created xsi:type="dcterms:W3CDTF">2023-01-26T09:12:00Z</dcterms:created>
  <dcterms:modified xsi:type="dcterms:W3CDTF">2024-02-27T15:34:00Z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0x0101009C6571533617C34F891E2C1568F37EF1</vt:lpwstr>
  </property>
  <property fmtid="{D5CDD505-2E9C-101B-9397-08002B2CF9AE}" pid="3" name="Order">
    <vt:r8>5900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