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lang w:val="en-US"/>
        </w:rPr>
      </w:pPr>
      <w:r>
        <w:rPr>
          <w:rFonts w:ascii="Cambria" w:cs="Cambria" w:hAnsi="Cambria" w:eastAsia="Cambria"/>
          <w:b w:val="1"/>
          <w:bCs w:val="1"/>
          <w:rtl w:val="0"/>
          <w:lang w:val="en-US"/>
        </w:rPr>
        <w:t>Data Massage and Fractal Vision in Governance of Danish Education</w:t>
      </w:r>
    </w:p>
    <w:p>
      <w:pPr>
        <w:pStyle w:val="Body"/>
        <w:rPr>
          <w:rFonts w:ascii="Times New Roman" w:cs="Times New Roman" w:hAnsi="Times New Roman" w:eastAsia="Times New Roman"/>
          <w:i w:val="1"/>
          <w:iCs w:val="1"/>
          <w:lang w:val="en-US"/>
        </w:rPr>
      </w:pPr>
    </w:p>
    <w:p>
      <w:pPr>
        <w:pStyle w:val="Body"/>
        <w:rPr>
          <w:b w:val="1"/>
          <w:bCs w:val="1"/>
          <w:lang w:val="en-US"/>
        </w:rPr>
      </w:pPr>
      <w:r>
        <w:rPr>
          <w:rFonts w:ascii="Cambria" w:cs="Cambria" w:hAnsi="Cambria" w:eastAsia="Cambria"/>
          <w:i w:val="1"/>
          <w:iCs w:val="1"/>
          <w:rtl w:val="0"/>
          <w:lang w:val="en-US"/>
        </w:rPr>
        <w:t>Helene Ratner (hr.mpp@cbs.dk)</w:t>
      </w:r>
      <w:r>
        <w:rPr>
          <w:rFonts w:ascii="Cambria" w:cs="Cambria" w:hAnsi="Cambria" w:eastAsia="Cambria"/>
          <w:b w:val="1"/>
          <w:bCs w:val="1"/>
          <w:rtl w:val="0"/>
          <w:lang w:val="en-US"/>
        </w:rPr>
        <w:t xml:space="preserve"> </w:t>
      </w:r>
    </w:p>
    <w:p>
      <w:pPr>
        <w:pStyle w:val="Body"/>
        <w:rPr>
          <w:rFonts w:ascii="Times New Roman" w:cs="Times New Roman" w:hAnsi="Times New Roman" w:eastAsia="Times New Roman"/>
          <w:b w:val="1"/>
          <w:bCs w:val="1"/>
          <w:lang w:val="en-US"/>
        </w:rPr>
      </w:pPr>
    </w:p>
    <w:p>
      <w:pPr>
        <w:pStyle w:val="Body"/>
        <w:spacing w:line="360" w:lineRule="auto"/>
        <w:rPr>
          <w:lang w:val="en-US"/>
        </w:rPr>
      </w:pPr>
      <w:r>
        <w:rPr>
          <w:rFonts w:ascii="Times New Roman"/>
          <w:rtl w:val="0"/>
          <w:lang w:val="en-US"/>
        </w:rPr>
        <w:t xml:space="preserve">The Danish Ministry of Education is currently changing their Management Information System </w:t>
      </w:r>
      <w:r>
        <w:rPr>
          <w:rFonts w:hAnsi="Times New Roman" w:hint="default"/>
          <w:rtl w:val="0"/>
          <w:lang w:val="en-US"/>
        </w:rPr>
        <w:t>‘</w:t>
      </w:r>
      <w:r>
        <w:rPr>
          <w:rFonts w:ascii="Times New Roman"/>
          <w:rtl w:val="0"/>
          <w:lang w:val="en-US"/>
        </w:rPr>
        <w:t>LIS</w:t>
      </w:r>
      <w:r>
        <w:rPr>
          <w:rFonts w:hAnsi="Times New Roman" w:hint="default"/>
          <w:rtl w:val="0"/>
          <w:lang w:val="en-US"/>
        </w:rPr>
        <w:t>’</w:t>
      </w:r>
      <w:r>
        <w:rPr>
          <w:rFonts w:ascii="Times New Roman"/>
          <w:rtl w:val="0"/>
          <w:lang w:val="en-US"/>
        </w:rPr>
        <w:t xml:space="preserve">. LIS is a database for primary schools, which contains numerical indicators such as test results, continuation in preparatory education, absence from class, well-being, to mention a few. It is mandatory to report on some of these indicators in so-called </w:t>
      </w:r>
      <w:r>
        <w:rPr>
          <w:rFonts w:hAnsi="Times New Roman" w:hint="default"/>
          <w:rtl w:val="0"/>
          <w:lang w:val="en-US"/>
        </w:rPr>
        <w:t>‘</w:t>
      </w:r>
      <w:r>
        <w:rPr>
          <w:rFonts w:ascii="Times New Roman"/>
          <w:rtl w:val="0"/>
          <w:lang w:val="en-US"/>
        </w:rPr>
        <w:t>quality reports</w:t>
      </w:r>
      <w:r>
        <w:rPr>
          <w:rFonts w:hAnsi="Times New Roman" w:hint="default"/>
          <w:rtl w:val="0"/>
          <w:lang w:val="en-US"/>
        </w:rPr>
        <w:t>’</w:t>
      </w:r>
      <w:r>
        <w:rPr>
          <w:rFonts w:ascii="Times New Roman"/>
          <w:rtl w:val="0"/>
          <w:lang w:val="en-US"/>
        </w:rPr>
        <w:t xml:space="preserve">, a municipal management tool for governing primary schools by objectives and results. A central feature of the new LIS is granular access control where municipalities and schools have differentiated access to data, relative to the institutions of which they are responsible. Instead of a monopoly on data access, the Ministry intends to </w:t>
      </w:r>
      <w:r>
        <w:rPr>
          <w:rFonts w:hAnsi="Times New Roman" w:hint="default"/>
          <w:rtl w:val="0"/>
          <w:lang w:val="en-US"/>
        </w:rPr>
        <w:t>‘</w:t>
      </w:r>
      <w:r>
        <w:rPr>
          <w:rFonts w:ascii="Times New Roman"/>
          <w:rtl w:val="0"/>
          <w:lang w:val="en-US"/>
        </w:rPr>
        <w:t>give back</w:t>
      </w:r>
      <w:r>
        <w:rPr>
          <w:rFonts w:hAnsi="Times New Roman" w:hint="default"/>
          <w:rtl w:val="0"/>
          <w:lang w:val="en-US"/>
        </w:rPr>
        <w:t xml:space="preserve">’ </w:t>
      </w:r>
      <w:r>
        <w:rPr>
          <w:rFonts w:ascii="Times New Roman"/>
          <w:rtl w:val="0"/>
          <w:lang w:val="en-US"/>
        </w:rPr>
        <w:t xml:space="preserve">data to the practitioners who need it to develop a </w:t>
      </w:r>
      <w:r>
        <w:rPr>
          <w:rFonts w:hAnsi="Times New Roman" w:hint="default"/>
          <w:rtl w:val="0"/>
          <w:lang w:val="en-US"/>
        </w:rPr>
        <w:t>‘</w:t>
      </w:r>
      <w:r>
        <w:rPr>
          <w:rFonts w:ascii="Times New Roman"/>
          <w:rtl w:val="0"/>
          <w:lang w:val="en-US"/>
        </w:rPr>
        <w:t>systematic evaluation culture</w:t>
      </w:r>
      <w:r>
        <w:rPr>
          <w:rFonts w:hAnsi="Times New Roman" w:hint="default"/>
          <w:rtl w:val="0"/>
          <w:lang w:val="en-US"/>
        </w:rPr>
        <w:t>’</w:t>
      </w:r>
      <w:r>
        <w:rPr>
          <w:rFonts w:ascii="Times New Roman"/>
          <w:rtl w:val="0"/>
          <w:lang w:val="en-US"/>
        </w:rPr>
        <w:t xml:space="preserve">, as a civil servant phrased it. Speaking of this as a shift of data use from </w:t>
      </w:r>
      <w:r>
        <w:rPr>
          <w:rFonts w:hAnsi="Times New Roman" w:hint="default"/>
          <w:rtl w:val="0"/>
          <w:lang w:val="en-US"/>
        </w:rPr>
        <w:t>’</w:t>
      </w:r>
      <w:r>
        <w:rPr>
          <w:rFonts w:ascii="Times New Roman"/>
          <w:rtl w:val="0"/>
          <w:lang w:val="en-US"/>
        </w:rPr>
        <w:t>controlling</w:t>
      </w:r>
      <w:r>
        <w:rPr>
          <w:rFonts w:hAnsi="Times New Roman" w:hint="default"/>
          <w:rtl w:val="0"/>
          <w:lang w:val="en-US"/>
        </w:rPr>
        <w:t xml:space="preserve">’ </w:t>
      </w:r>
      <w:r>
        <w:rPr>
          <w:rFonts w:ascii="Times New Roman"/>
          <w:rtl w:val="0"/>
          <w:lang w:val="en-US"/>
        </w:rPr>
        <w:t xml:space="preserve">to </w:t>
      </w:r>
      <w:r>
        <w:rPr>
          <w:rFonts w:hAnsi="Times New Roman" w:hint="default"/>
          <w:rtl w:val="0"/>
          <w:lang w:val="en-US"/>
        </w:rPr>
        <w:t>’</w:t>
      </w:r>
      <w:r>
        <w:rPr>
          <w:rFonts w:ascii="Times New Roman"/>
          <w:rtl w:val="0"/>
          <w:lang w:val="en-US"/>
        </w:rPr>
        <w:t>massaging</w:t>
      </w:r>
      <w:r>
        <w:rPr>
          <w:rFonts w:hAnsi="Times New Roman" w:hint="default"/>
          <w:rtl w:val="0"/>
          <w:lang w:val="en-US"/>
        </w:rPr>
        <w:t xml:space="preserve">’ </w:t>
      </w:r>
      <w:r>
        <w:rPr>
          <w:rFonts w:ascii="Times New Roman"/>
          <w:rtl w:val="0"/>
          <w:lang w:val="en-US"/>
        </w:rPr>
        <w:t>individual primary schools, the Ministry of Education envisions that granular access to data affords a dialectic of information and intervention, in which LIS evaluates and anticipates individuals</w:t>
      </w:r>
      <w:r>
        <w:rPr>
          <w:rFonts w:hAnsi="Times New Roman" w:hint="default"/>
          <w:rtl w:val="0"/>
          <w:lang w:val="en-US"/>
        </w:rPr>
        <w:t xml:space="preserve">’ </w:t>
      </w:r>
      <w:r>
        <w:rPr>
          <w:rFonts w:ascii="Times New Roman"/>
          <w:rtl w:val="0"/>
          <w:lang w:val="en-US"/>
        </w:rPr>
        <w:t>and institutions</w:t>
      </w:r>
      <w:r>
        <w:rPr>
          <w:rFonts w:hAnsi="Times New Roman" w:hint="default"/>
          <w:rtl w:val="0"/>
          <w:lang w:val="en-US"/>
        </w:rPr>
        <w:t xml:space="preserve">’ </w:t>
      </w:r>
      <w:r>
        <w:rPr>
          <w:rFonts w:ascii="Times New Roman"/>
          <w:rtl w:val="0"/>
          <w:lang w:val="en-US"/>
        </w:rPr>
        <w:t xml:space="preserve">performance. </w:t>
      </w:r>
    </w:p>
    <w:p>
      <w:pPr>
        <w:pStyle w:val="Body"/>
        <w:spacing w:line="360" w:lineRule="auto"/>
        <w:rPr>
          <w:rFonts w:ascii="Times New Roman" w:cs="Times New Roman" w:hAnsi="Times New Roman" w:eastAsia="Times New Roman"/>
          <w:lang w:val="en-US"/>
        </w:rPr>
      </w:pPr>
    </w:p>
    <w:p>
      <w:pPr>
        <w:pStyle w:val="Body"/>
        <w:spacing w:line="360" w:lineRule="auto"/>
        <w:rPr>
          <w:lang w:val="en-US"/>
        </w:rPr>
      </w:pPr>
      <w:r>
        <w:rPr>
          <w:rFonts w:ascii="Times New Roman"/>
          <w:rtl w:val="0"/>
          <w:lang w:val="en-US"/>
        </w:rPr>
        <w:t xml:space="preserve">How to think about this </w:t>
      </w:r>
      <w:r>
        <w:rPr>
          <w:rFonts w:hAnsi="Times New Roman" w:hint="default"/>
          <w:rtl w:val="0"/>
          <w:lang w:val="en-US"/>
        </w:rPr>
        <w:t>‘</w:t>
      </w:r>
      <w:r>
        <w:rPr>
          <w:rFonts w:ascii="Times New Roman"/>
          <w:rtl w:val="0"/>
          <w:lang w:val="en-US"/>
        </w:rPr>
        <w:t>data massage</w:t>
      </w:r>
      <w:r>
        <w:rPr>
          <w:rFonts w:hAnsi="Times New Roman" w:hint="default"/>
          <w:rtl w:val="0"/>
          <w:lang w:val="en-US"/>
        </w:rPr>
        <w:t>’</w:t>
      </w:r>
      <w:r>
        <w:rPr>
          <w:rFonts w:ascii="Times New Roman"/>
          <w:rtl w:val="0"/>
          <w:lang w:val="en-US"/>
        </w:rPr>
        <w:t xml:space="preserve">? Does it materialize a particular </w:t>
      </w:r>
      <w:r>
        <w:rPr>
          <w:rFonts w:hAnsi="Times New Roman" w:hint="default"/>
          <w:rtl w:val="0"/>
          <w:lang w:val="en-US"/>
        </w:rPr>
        <w:t>‘</w:t>
      </w:r>
      <w:r>
        <w:rPr>
          <w:rFonts w:ascii="Times New Roman"/>
          <w:rtl w:val="0"/>
          <w:lang w:val="en-US"/>
        </w:rPr>
        <w:t>ontology of the digital</w:t>
      </w:r>
      <w:r>
        <w:rPr>
          <w:rFonts w:hAnsi="Times New Roman" w:hint="default"/>
          <w:rtl w:val="0"/>
          <w:lang w:val="en-US"/>
        </w:rPr>
        <w:t>’</w:t>
      </w:r>
      <w:r>
        <w:rPr>
          <w:rFonts w:ascii="Times New Roman"/>
          <w:rtl w:val="0"/>
          <w:lang w:val="en-US"/>
        </w:rPr>
        <w:t xml:space="preserve">, as the introduction asks? Following the so-called ontological turn in anthropology, these two questions are deeply related: Put crudely, discussions here emphasize an endeavor to rethink conceptual givens through encounters with alterity in the field </w:t>
      </w:r>
      <w:r>
        <w:rPr>
          <w:rFonts w:ascii="Times New Roman"/>
          <w:rtl w:val="0"/>
          <w:lang w:val="nl-NL"/>
        </w:rPr>
        <w:t xml:space="preserve"> (Henare, Holbraad and Wastell 2007)</w:t>
      </w:r>
      <w:r>
        <w:rPr>
          <w:rFonts w:ascii="Times New Roman"/>
          <w:rtl w:val="0"/>
          <w:lang w:val="en-US"/>
        </w:rPr>
        <w:t xml:space="preserve"> . This implies a relation where the conceptual and empirical forms a perspective on each other: either through conceptual </w:t>
      </w:r>
      <w:r>
        <w:rPr>
          <w:rFonts w:hAnsi="Times New Roman" w:hint="default"/>
          <w:rtl w:val="0"/>
          <w:lang w:val="en-US"/>
        </w:rPr>
        <w:t>‘</w:t>
      </w:r>
      <w:r>
        <w:rPr>
          <w:rFonts w:ascii="Times New Roman"/>
          <w:rtl w:val="0"/>
          <w:lang w:val="en-US"/>
        </w:rPr>
        <w:t>domestication</w:t>
      </w:r>
      <w:r>
        <w:rPr>
          <w:rFonts w:hAnsi="Times New Roman" w:hint="default"/>
          <w:rtl w:val="0"/>
          <w:lang w:val="en-US"/>
        </w:rPr>
        <w:t xml:space="preserve">’ </w:t>
      </w:r>
      <w:r>
        <w:rPr>
          <w:rFonts w:ascii="Times New Roman"/>
          <w:rtl w:val="0"/>
          <w:lang w:val="en-US"/>
        </w:rPr>
        <w:t xml:space="preserve">of alterity or rethinking own concepts through those of the </w:t>
      </w:r>
      <w:r>
        <w:rPr>
          <w:rFonts w:hAnsi="Times New Roman" w:hint="default"/>
          <w:rtl w:val="0"/>
          <w:lang w:val="en-US"/>
        </w:rPr>
        <w:t>‘</w:t>
      </w:r>
      <w:r>
        <w:rPr>
          <w:rFonts w:ascii="Times New Roman"/>
          <w:rtl w:val="0"/>
          <w:lang w:val="en-US"/>
        </w:rPr>
        <w:t>Other</w:t>
      </w:r>
      <w:r>
        <w:rPr>
          <w:rFonts w:hAnsi="Times New Roman" w:hint="default"/>
          <w:rtl w:val="0"/>
          <w:lang w:val="en-US"/>
        </w:rPr>
        <w:t>’</w:t>
      </w:r>
      <w:r>
        <w:rPr>
          <w:rFonts w:ascii="Times New Roman"/>
          <w:rtl w:val="0"/>
          <w:lang w:val="en-US"/>
        </w:rPr>
        <w:t xml:space="preserve">.  </w:t>
      </w:r>
    </w:p>
    <w:p>
      <w:pPr>
        <w:pStyle w:val="Body"/>
        <w:spacing w:line="360" w:lineRule="auto"/>
        <w:rPr>
          <w:rFonts w:ascii="Times New Roman" w:cs="Times New Roman" w:hAnsi="Times New Roman" w:eastAsia="Times New Roman"/>
          <w:lang w:val="en-US"/>
        </w:rPr>
      </w:pPr>
    </w:p>
    <w:p>
      <w:pPr>
        <w:pStyle w:val="Body"/>
        <w:spacing w:line="360" w:lineRule="auto"/>
        <w:rPr>
          <w:lang w:val="en-US"/>
        </w:rPr>
      </w:pPr>
      <w:r>
        <w:rPr>
          <w:rFonts w:ascii="Times New Roman"/>
          <w:rtl w:val="0"/>
          <w:lang w:val="en-US"/>
        </w:rPr>
        <w:t>In Science and technology Studies, the stakes are different. Instead of conceptualizing ontology through alterity, debates here emphasize how realities come into being through practical associations of humans and non-humans</w:t>
      </w:r>
      <w:r>
        <w:rPr>
          <w:rFonts w:ascii="Times New Roman"/>
          <w:rtl w:val="0"/>
        </w:rPr>
        <w:t xml:space="preserve"> (Mol 2002)</w:t>
      </w:r>
      <w:r>
        <w:rPr>
          <w:rFonts w:ascii="Times New Roman"/>
          <w:rtl w:val="0"/>
          <w:lang w:val="en-US"/>
        </w:rPr>
        <w:t xml:space="preserve"> . We can thus not speak of a digital ontology </w:t>
      </w:r>
      <w:r>
        <w:rPr>
          <w:rFonts w:ascii="Times New Roman"/>
          <w:i w:val="1"/>
          <w:iCs w:val="1"/>
          <w:rtl w:val="0"/>
          <w:lang w:val="en-US"/>
        </w:rPr>
        <w:t>in general</w:t>
      </w:r>
      <w:r>
        <w:rPr>
          <w:rFonts w:ascii="Times New Roman"/>
          <w:rtl w:val="0"/>
          <w:lang w:val="en-US"/>
        </w:rPr>
        <w:t xml:space="preserve"> but rather explore how digital technologies contribute to the making of realities. This also applies to analysis: Rather than posing a question of </w:t>
      </w:r>
      <w:r>
        <w:rPr>
          <w:rFonts w:hAnsi="Times New Roman" w:hint="default"/>
          <w:rtl w:val="0"/>
          <w:lang w:val="en-US"/>
        </w:rPr>
        <w:t>‘</w:t>
      </w:r>
      <w:r>
        <w:rPr>
          <w:rFonts w:ascii="Times New Roman"/>
          <w:rtl w:val="0"/>
          <w:lang w:val="en-US"/>
        </w:rPr>
        <w:t>adequate description</w:t>
      </w:r>
      <w:r>
        <w:rPr>
          <w:rFonts w:hAnsi="Times New Roman" w:hint="default"/>
          <w:rtl w:val="0"/>
          <w:lang w:val="en-US"/>
        </w:rPr>
        <w:t>’</w:t>
      </w:r>
      <w:r>
        <w:rPr>
          <w:rFonts w:ascii="Times New Roman"/>
          <w:rtl w:val="0"/>
          <w:lang w:val="en-US"/>
        </w:rPr>
        <w:t xml:space="preserve">, focus is on how </w:t>
      </w:r>
      <w:r>
        <w:rPr>
          <w:rFonts w:hAnsi="Times New Roman" w:hint="default"/>
          <w:rtl w:val="0"/>
          <w:lang w:val="en-US"/>
        </w:rPr>
        <w:t>‘</w:t>
      </w:r>
      <w:r>
        <w:rPr>
          <w:rFonts w:ascii="Times New Roman"/>
          <w:rtl w:val="0"/>
          <w:lang w:val="en-US"/>
        </w:rPr>
        <w:t>method assemblages</w:t>
      </w:r>
      <w:r>
        <w:rPr>
          <w:rFonts w:hAnsi="Times New Roman" w:hint="default"/>
          <w:rtl w:val="0"/>
          <w:lang w:val="en-US"/>
        </w:rPr>
        <w:t xml:space="preserve">’ </w:t>
      </w:r>
      <w:r>
        <w:rPr>
          <w:rFonts w:ascii="Times New Roman"/>
          <w:rtl w:val="0"/>
          <w:lang w:val="en-US"/>
        </w:rPr>
        <w:t xml:space="preserve">contribute to the realities they study </w:t>
      </w:r>
      <w:r>
        <w:rPr>
          <w:rFonts w:ascii="Times New Roman"/>
          <w:rtl w:val="0"/>
        </w:rPr>
        <w:t xml:space="preserve"> (Law 2004, Jensen 2013)</w:t>
      </w:r>
      <w:r>
        <w:rPr>
          <w:rFonts w:ascii="Times New Roman"/>
          <w:rtl w:val="0"/>
          <w:lang w:val="en-US"/>
        </w:rPr>
        <w:t xml:space="preserve"> . Here, I will suggest that LIS can refract questions about performativity so common in educational studies of numbers, revealing how digitally mediated rankings become self-fulfilling prophesies.</w:t>
      </w:r>
    </w:p>
    <w:p>
      <w:pPr>
        <w:pStyle w:val="Body"/>
        <w:spacing w:line="360" w:lineRule="auto"/>
        <w:rPr>
          <w:rFonts w:ascii="Times New Roman" w:cs="Times New Roman" w:hAnsi="Times New Roman" w:eastAsia="Times New Roman"/>
          <w:lang w:val="en-US"/>
        </w:rPr>
      </w:pPr>
    </w:p>
    <w:p>
      <w:pPr>
        <w:pStyle w:val="Body"/>
        <w:spacing w:line="360" w:lineRule="auto"/>
        <w:rPr>
          <w:lang w:val="en-US"/>
        </w:rPr>
      </w:pPr>
      <w:r>
        <w:rPr>
          <w:rFonts w:hAnsi="Times New Roman" w:hint="default"/>
          <w:rtl w:val="0"/>
          <w:lang w:val="en-US"/>
        </w:rPr>
        <w:t>‘</w:t>
      </w:r>
      <w:r>
        <w:rPr>
          <w:rFonts w:ascii="Times New Roman"/>
          <w:rtl w:val="0"/>
          <w:lang w:val="en-US"/>
        </w:rPr>
        <w:t>Data massage</w:t>
      </w:r>
      <w:r>
        <w:rPr>
          <w:rFonts w:hAnsi="Times New Roman" w:hint="default"/>
          <w:rtl w:val="0"/>
          <w:lang w:val="en-US"/>
        </w:rPr>
        <w:t xml:space="preserve">’ </w:t>
      </w:r>
      <w:r>
        <w:rPr>
          <w:rFonts w:ascii="Times New Roman"/>
          <w:rtl w:val="0"/>
          <w:lang w:val="en-US"/>
        </w:rPr>
        <w:t xml:space="preserve">is not particularly pleasant or relaxing. It is closely intertwined with performance management, a proliferating technology of governance that holds educational institutions accountable on their performance. LIS enacts new notions of knowledge where data is imagined to contribute to qualitative assessments. This problematizes what it means to </w:t>
      </w:r>
      <w:r>
        <w:rPr>
          <w:rFonts w:hAnsi="Times New Roman" w:hint="default"/>
          <w:rtl w:val="0"/>
          <w:lang w:val="en-US"/>
        </w:rPr>
        <w:t>‘</w:t>
      </w:r>
      <w:r>
        <w:rPr>
          <w:rFonts w:ascii="Times New Roman"/>
          <w:rtl w:val="0"/>
          <w:lang w:val="en-US"/>
        </w:rPr>
        <w:t>know</w:t>
      </w:r>
      <w:r>
        <w:rPr>
          <w:rFonts w:hAnsi="Times New Roman" w:hint="default"/>
          <w:rtl w:val="0"/>
          <w:lang w:val="en-US"/>
        </w:rPr>
        <w:t xml:space="preserve">’ </w:t>
      </w:r>
      <w:r>
        <w:rPr>
          <w:rFonts w:ascii="Times New Roman"/>
          <w:rtl w:val="0"/>
          <w:lang w:val="en-US"/>
        </w:rPr>
        <w:t xml:space="preserve">ones pupils, teachers, and managers. Data is imagined to shape social relationships between teachers-pupils, managers-teachers, and municipalities-schools. New accountability relations materialize as institutions are expected to intervene in the </w:t>
      </w:r>
      <w:r>
        <w:rPr>
          <w:rFonts w:hAnsi="Times New Roman" w:hint="default"/>
          <w:rtl w:val="0"/>
          <w:lang w:val="en-US"/>
        </w:rPr>
        <w:t>‘</w:t>
      </w:r>
      <w:r>
        <w:rPr>
          <w:rFonts w:ascii="Times New Roman"/>
          <w:rtl w:val="0"/>
          <w:lang w:val="en-US"/>
        </w:rPr>
        <w:t>problems</w:t>
      </w:r>
      <w:r>
        <w:rPr>
          <w:rFonts w:hAnsi="Times New Roman" w:hint="default"/>
          <w:rtl w:val="0"/>
          <w:lang w:val="en-US"/>
        </w:rPr>
        <w:t xml:space="preserve">’ </w:t>
      </w:r>
      <w:r>
        <w:rPr>
          <w:rFonts w:ascii="Times New Roman"/>
          <w:rtl w:val="0"/>
          <w:lang w:val="en-US"/>
        </w:rPr>
        <w:t xml:space="preserve">made explicit by data. </w:t>
      </w:r>
    </w:p>
    <w:p>
      <w:pPr>
        <w:pStyle w:val="Body"/>
        <w:spacing w:line="360" w:lineRule="auto"/>
        <w:rPr>
          <w:rFonts w:ascii="Times New Roman" w:cs="Times New Roman" w:hAnsi="Times New Roman" w:eastAsia="Times New Roman"/>
          <w:lang w:val="en-US"/>
        </w:rPr>
      </w:pPr>
    </w:p>
    <w:p>
      <w:pPr>
        <w:pStyle w:val="Body"/>
        <w:spacing w:line="360" w:lineRule="auto"/>
        <w:rPr>
          <w:lang w:val="en-US"/>
        </w:rPr>
      </w:pPr>
      <w:r>
        <w:rPr>
          <w:rFonts w:ascii="Times New Roman"/>
          <w:rtl w:val="0"/>
          <w:lang w:val="en-US"/>
        </w:rPr>
        <w:t xml:space="preserve">LIS </w:t>
      </w:r>
      <w:r>
        <w:rPr>
          <w:rFonts w:hAnsi="Times New Roman" w:hint="default"/>
          <w:rtl w:val="0"/>
          <w:lang w:val="en-US"/>
        </w:rPr>
        <w:t>‘</w:t>
      </w:r>
      <w:r>
        <w:rPr>
          <w:rFonts w:ascii="Times New Roman"/>
          <w:rtl w:val="0"/>
          <w:lang w:val="en-US"/>
        </w:rPr>
        <w:t>reveals</w:t>
      </w:r>
      <w:r>
        <w:rPr>
          <w:rFonts w:hAnsi="Times New Roman" w:hint="default"/>
          <w:rtl w:val="0"/>
          <w:lang w:val="en-US"/>
        </w:rPr>
        <w:t xml:space="preserve">’ </w:t>
      </w:r>
      <w:r>
        <w:rPr>
          <w:rFonts w:ascii="Times New Roman"/>
          <w:rtl w:val="0"/>
          <w:lang w:val="en-US"/>
        </w:rPr>
        <w:t xml:space="preserve">problems through particular numerical configurations of difference: as differences between national objectives and status quo, and as differences between parts and wholes. These differences are visualized through column charts, vertical bars showing how data change over time and comparing </w:t>
      </w:r>
      <w:r>
        <w:rPr>
          <w:rFonts w:hAnsi="Times New Roman" w:hint="default"/>
          <w:rtl w:val="0"/>
          <w:lang w:val="en-US"/>
        </w:rPr>
        <w:t>‘</w:t>
      </w:r>
      <w:r>
        <w:rPr>
          <w:rFonts w:ascii="Times New Roman"/>
          <w:rtl w:val="0"/>
          <w:lang w:val="en-US"/>
        </w:rPr>
        <w:t>parts</w:t>
      </w:r>
      <w:r>
        <w:rPr>
          <w:rFonts w:hAnsi="Times New Roman" w:hint="default"/>
          <w:rtl w:val="0"/>
          <w:lang w:val="en-US"/>
        </w:rPr>
        <w:t xml:space="preserve">’ </w:t>
      </w:r>
      <w:r>
        <w:rPr>
          <w:rFonts w:ascii="Times New Roman"/>
          <w:rtl w:val="0"/>
          <w:lang w:val="en-US"/>
        </w:rPr>
        <w:t xml:space="preserve">to </w:t>
      </w:r>
      <w:r>
        <w:rPr>
          <w:rFonts w:hAnsi="Times New Roman" w:hint="default"/>
          <w:rtl w:val="0"/>
          <w:lang w:val="en-US"/>
        </w:rPr>
        <w:t>‘</w:t>
      </w:r>
      <w:r>
        <w:rPr>
          <w:rFonts w:ascii="Times New Roman"/>
          <w:rtl w:val="0"/>
          <w:lang w:val="en-US"/>
        </w:rPr>
        <w:t>wholes</w:t>
      </w:r>
      <w:r>
        <w:rPr>
          <w:rFonts w:hAnsi="Times New Roman" w:hint="default"/>
          <w:rtl w:val="0"/>
          <w:lang w:val="en-US"/>
        </w:rPr>
        <w:t xml:space="preserve">’ </w:t>
      </w:r>
      <w:r>
        <w:rPr>
          <w:rFonts w:ascii="Times New Roman"/>
          <w:rtl w:val="0"/>
          <w:lang w:val="en-US"/>
        </w:rPr>
        <w:t xml:space="preserve">(see picture). The vertical axe shows percentage and contains the comparison to national objectives, formulated through a certain percentage of the pupil population. For instance, one national objective is that 80 % of all pupils are </w:t>
      </w:r>
      <w:r>
        <w:rPr>
          <w:rFonts w:hAnsi="Times New Roman" w:hint="default"/>
          <w:rtl w:val="0"/>
          <w:lang w:val="en-US"/>
        </w:rPr>
        <w:t>‘</w:t>
      </w:r>
      <w:r>
        <w:rPr>
          <w:rFonts w:ascii="Times New Roman"/>
          <w:rtl w:val="0"/>
          <w:lang w:val="en-US"/>
        </w:rPr>
        <w:t>good</w:t>
      </w:r>
      <w:r>
        <w:rPr>
          <w:rFonts w:hAnsi="Times New Roman" w:hint="default"/>
          <w:rtl w:val="0"/>
          <w:lang w:val="en-US"/>
        </w:rPr>
        <w:t xml:space="preserve">’ </w:t>
      </w:r>
      <w:r>
        <w:rPr>
          <w:rFonts w:ascii="Times New Roman"/>
          <w:rtl w:val="0"/>
          <w:lang w:val="en-US"/>
        </w:rPr>
        <w:t xml:space="preserve">at reading and doing math.  Here, performance is enacted as either above or below the objective of 80 % and the distance to the 80 % can be closer or further. The red line above each column bar indicates the national average. </w:t>
      </w:r>
    </w:p>
    <w:p>
      <w:pPr>
        <w:pStyle w:val="Body"/>
        <w:spacing w:line="360" w:lineRule="auto"/>
        <w:rPr>
          <w:rFonts w:ascii="Times New Roman" w:cs="Times New Roman" w:hAnsi="Times New Roman" w:eastAsia="Times New Roman"/>
          <w:lang w:val="en-US"/>
        </w:rPr>
      </w:pPr>
    </w:p>
    <w:p>
      <w:pPr>
        <w:pStyle w:val="Body"/>
        <w:spacing w:line="360" w:lineRule="auto"/>
        <w:rPr>
          <w:lang w:val="en-US"/>
        </w:rPr>
      </w:pPr>
      <w:r>
        <w:rPr>
          <w:rFonts w:ascii="Times New Roman"/>
          <w:rtl w:val="0"/>
          <w:lang w:val="en-US"/>
        </w:rPr>
        <w:t xml:space="preserve">The difference between part and whole is more complex. The pupil can be a </w:t>
      </w:r>
      <w:r>
        <w:rPr>
          <w:rFonts w:hAnsi="Times New Roman" w:hint="default"/>
          <w:rtl w:val="0"/>
          <w:lang w:val="en-US"/>
        </w:rPr>
        <w:t>‘</w:t>
      </w:r>
      <w:r>
        <w:rPr>
          <w:rFonts w:ascii="Times New Roman"/>
          <w:rtl w:val="0"/>
          <w:lang w:val="en-US"/>
        </w:rPr>
        <w:t>part</w:t>
      </w:r>
      <w:r>
        <w:rPr>
          <w:rFonts w:hAnsi="Times New Roman" w:hint="default"/>
          <w:rtl w:val="0"/>
          <w:lang w:val="en-US"/>
        </w:rPr>
        <w:t xml:space="preserve">’ </w:t>
      </w:r>
      <w:r>
        <w:rPr>
          <w:rFonts w:ascii="Times New Roman"/>
          <w:rtl w:val="0"/>
          <w:lang w:val="en-US"/>
        </w:rPr>
        <w:t xml:space="preserve">in relation to the class, the school, the municipality, Denmark. And each of these </w:t>
      </w:r>
      <w:r>
        <w:rPr>
          <w:rFonts w:hAnsi="Times New Roman" w:hint="default"/>
          <w:rtl w:val="0"/>
          <w:lang w:val="en-US"/>
        </w:rPr>
        <w:t>‘</w:t>
      </w:r>
      <w:r>
        <w:rPr>
          <w:rFonts w:ascii="Times New Roman"/>
          <w:rtl w:val="0"/>
          <w:lang w:val="en-US"/>
        </w:rPr>
        <w:t>wholes</w:t>
      </w:r>
      <w:r>
        <w:rPr>
          <w:rFonts w:hAnsi="Times New Roman" w:hint="default"/>
          <w:rtl w:val="0"/>
          <w:lang w:val="en-US"/>
        </w:rPr>
        <w:t xml:space="preserve">’ </w:t>
      </w:r>
      <w:r>
        <w:rPr>
          <w:rFonts w:ascii="Times New Roman"/>
          <w:rtl w:val="0"/>
          <w:lang w:val="en-US"/>
        </w:rPr>
        <w:t xml:space="preserve">can in turn be viewed as parts: a class can be part of a school, a school of a municipality, the nation. The database can thus both collapse difference and add difference by zooming in and out. We can think of this reproduction of complexity across different levels as fractal, as recursive iterations of patterns within patterns </w:t>
      </w:r>
      <w:r>
        <w:rPr>
          <w:rFonts w:ascii="Times New Roman"/>
          <w:rtl w:val="0"/>
        </w:rPr>
        <w:t xml:space="preserve"> (Mosko 2005:1-46)</w:t>
      </w:r>
      <w:r>
        <w:rPr>
          <w:rFonts w:ascii="Times New Roman"/>
          <w:rtl w:val="0"/>
          <w:lang w:val="en-US"/>
        </w:rPr>
        <w:t xml:space="preserve"> . Through its fractal vision, LIS at once reifies and obviates relations between parts and whole.</w:t>
      </w:r>
    </w:p>
    <w:p>
      <w:pPr>
        <w:pStyle w:val="Body"/>
        <w:spacing w:line="360" w:lineRule="auto"/>
        <w:rPr>
          <w:rFonts w:ascii="Times New Roman" w:cs="Times New Roman" w:hAnsi="Times New Roman" w:eastAsia="Times New Roman"/>
          <w:lang w:val="en-US"/>
        </w:rPr>
      </w:pPr>
    </w:p>
    <w:p>
      <w:pPr>
        <w:pStyle w:val="Body"/>
        <w:spacing w:line="360" w:lineRule="auto"/>
        <w:rPr>
          <w:lang w:val="en-US"/>
        </w:rPr>
      </w:pPr>
      <w:r>
        <w:rPr>
          <w:rFonts w:ascii="Times New Roman"/>
          <w:rtl w:val="0"/>
          <w:lang w:val="en-US"/>
        </w:rPr>
        <w:t xml:space="preserve">A concluding note on performativity, which here takes the specific form and even has a name: performance management. In STS, performativity is generally used to highlight how theories, models and categories produce reality instead of representing it </w:t>
      </w:r>
      <w:r>
        <w:rPr>
          <w:rFonts w:ascii="Times New Roman"/>
          <w:rtl w:val="0"/>
        </w:rPr>
        <w:t xml:space="preserve"> (MacKenzie 2003:831-868)</w:t>
      </w:r>
      <w:r>
        <w:rPr>
          <w:rFonts w:ascii="Times New Roman"/>
          <w:rtl w:val="0"/>
          <w:lang w:val="en-US"/>
        </w:rPr>
        <w:t xml:space="preserve"> . This turns around the chronology of reality and representation: instead of reality being prior to representation, representation performs a reality. For the civil servants in the Ministry of Education, however, it is not a choice between representation and performativity. The two are not in contradiction with one another but become entangled in particular ways: They hope that their digital representations will become performative: that they will align how dispersed institutions and practitioners know about and develop their practices. </w:t>
      </w:r>
    </w:p>
    <w:p>
      <w:pPr>
        <w:pStyle w:val="Body"/>
        <w:spacing w:line="360" w:lineRule="auto"/>
        <w:rPr>
          <w:rFonts w:ascii="Times New Roman" w:cs="Times New Roman" w:hAnsi="Times New Roman" w:eastAsia="Times New Roman"/>
          <w:lang w:val="en-US"/>
        </w:rPr>
      </w:pPr>
    </w:p>
    <w:p>
      <w:pPr>
        <w:pStyle w:val="Body"/>
        <w:spacing w:line="360" w:lineRule="auto"/>
        <w:rPr>
          <w:lang w:val="en-US"/>
        </w:rPr>
      </w:pPr>
      <w:r>
        <w:rPr>
          <w:rFonts w:ascii="Times New Roman"/>
          <w:rtl w:val="0"/>
          <w:lang w:val="en-US"/>
        </w:rPr>
        <w:t xml:space="preserve">This hope of performativity is closely entwined with the LIS configuration of difference: the hope is that differences between national objectives and status quo disappear. Once difference has disappeared, objectives have been met. Ironically, this very hope fuels the production of new difference whenever LIS compares status quo to national objective. </w:t>
      </w:r>
    </w:p>
    <w:p>
      <w:pPr>
        <w:pStyle w:val="Body"/>
        <w:spacing w:line="360" w:lineRule="auto"/>
        <w:rPr>
          <w:rFonts w:ascii="Times New Roman" w:cs="Times New Roman" w:hAnsi="Times New Roman" w:eastAsia="Times New Roman"/>
          <w:lang w:val="en-US"/>
        </w:rPr>
      </w:pPr>
    </w:p>
    <w:p>
      <w:pPr>
        <w:pStyle w:val="Body"/>
        <w:spacing w:line="360" w:lineRule="auto"/>
        <w:rPr>
          <w:rFonts w:ascii="Times New Roman" w:cs="Times New Roman" w:hAnsi="Times New Roman" w:eastAsia="Times New Roman"/>
          <w:lang w:val="en-US"/>
        </w:rPr>
      </w:pPr>
    </w:p>
    <w:p>
      <w:pPr>
        <w:pStyle w:val="Body"/>
        <w:spacing w:line="360" w:lineRule="auto"/>
        <w:rPr>
          <w:lang w:val="en-US"/>
        </w:rPr>
      </w:pPr>
      <w:r>
        <w:rPr>
          <w:rtl w:val="0"/>
        </w:rPr>
        <w:drawing>
          <wp:inline distT="0" distB="0" distL="0" distR="0">
            <wp:extent cx="6116320" cy="3663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6116320" cy="3663315"/>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lang w:val="en-US"/>
        </w:rPr>
      </w:pPr>
    </w:p>
    <w:p>
      <w:pPr>
        <w:pStyle w:val="Normal (Web)"/>
        <w:jc w:val="center"/>
        <w:rPr>
          <w:rtl w:val="0"/>
        </w:rPr>
      </w:pPr>
      <w:r>
        <w:rPr>
          <w:rtl w:val="0"/>
          <w:lang w:val="en-US"/>
        </w:rPr>
        <w:t xml:space="preserve"> References</w:t>
      </w:r>
    </w:p>
    <w:p>
      <w:pPr>
        <w:pStyle w:val="Normal (Web)"/>
        <w:spacing w:line="480" w:lineRule="auto"/>
        <w:rPr>
          <w:rtl w:val="0"/>
        </w:rPr>
      </w:pPr>
      <w:r>
        <w:rPr>
          <w:rtl w:val="0"/>
          <w:lang w:val="en-US"/>
        </w:rPr>
        <w:t xml:space="preserve">Henare, Amiria, Holbraad, Martin and Wastell, Sari. 2007. </w:t>
      </w:r>
      <w:r>
        <w:rPr>
          <w:i w:val="1"/>
          <w:iCs w:val="1"/>
          <w:rtl w:val="0"/>
          <w:lang w:val="en-US"/>
        </w:rPr>
        <w:t xml:space="preserve">Thinking through things: theorising artefacts ethnographically. </w:t>
      </w:r>
      <w:r>
        <w:rPr>
          <w:rtl w:val="0"/>
          <w:lang w:val="en-US"/>
        </w:rPr>
        <w:t>Oxon and New York: Routledge.</w:t>
      </w:r>
    </w:p>
    <w:p>
      <w:pPr>
        <w:pStyle w:val="Normal (Web)"/>
        <w:spacing w:line="480" w:lineRule="auto"/>
        <w:rPr>
          <w:i w:val="1"/>
          <w:iCs w:val="1"/>
          <w:rtl w:val="0"/>
        </w:rPr>
      </w:pPr>
      <w:r>
        <w:rPr>
          <w:rtl w:val="0"/>
          <w:lang w:val="en-US"/>
        </w:rPr>
        <w:t xml:space="preserve">Jensen, Casper Bruun. 2013. Continuous Variations: The Conceptual and the Empirical in STS. </w:t>
      </w:r>
      <w:r>
        <w:rPr>
          <w:i w:val="1"/>
          <w:iCs w:val="1"/>
          <w:rtl w:val="0"/>
          <w:lang w:val="en-US"/>
        </w:rPr>
        <w:t xml:space="preserve">Science, Technology &amp; Human Values </w:t>
      </w:r>
    </w:p>
    <w:p>
      <w:pPr>
        <w:pStyle w:val="Normal (Web)"/>
        <w:spacing w:line="480" w:lineRule="auto"/>
        <w:rPr>
          <w:rtl w:val="0"/>
        </w:rPr>
      </w:pPr>
      <w:r>
        <w:rPr>
          <w:rtl w:val="0"/>
          <w:lang w:val="en-US"/>
        </w:rPr>
        <w:t xml:space="preserve">Law, John. 2004. </w:t>
      </w:r>
      <w:r>
        <w:rPr>
          <w:i w:val="1"/>
          <w:iCs w:val="1"/>
          <w:rtl w:val="0"/>
          <w:lang w:val="en-US"/>
        </w:rPr>
        <w:t xml:space="preserve">After Method: Mess in Social Science Research. </w:t>
      </w:r>
      <w:r>
        <w:rPr>
          <w:rtl w:val="0"/>
          <w:lang w:val="en-US"/>
        </w:rPr>
        <w:t>London and New York: Routledge.</w:t>
      </w:r>
    </w:p>
    <w:p>
      <w:pPr>
        <w:pStyle w:val="Normal (Web)"/>
        <w:spacing w:line="480" w:lineRule="auto"/>
        <w:rPr>
          <w:rtl w:val="0"/>
        </w:rPr>
      </w:pPr>
      <w:r>
        <w:rPr>
          <w:rtl w:val="0"/>
          <w:lang w:val="en-US"/>
        </w:rPr>
        <w:t xml:space="preserve">MacKenzie, Donald. 2003. An equation and its world: bricolage, exemplars, disunity, and performativity in Financial Economics. </w:t>
      </w:r>
      <w:r>
        <w:rPr>
          <w:i w:val="1"/>
          <w:iCs w:val="1"/>
          <w:rtl w:val="0"/>
          <w:lang w:val="en-US"/>
        </w:rPr>
        <w:t xml:space="preserve">Social Studies of Science </w:t>
      </w:r>
      <w:r>
        <w:rPr>
          <w:rtl w:val="0"/>
          <w:lang w:val="en-US"/>
        </w:rPr>
        <w:t>33:831-68.</w:t>
      </w:r>
    </w:p>
    <w:p>
      <w:pPr>
        <w:pStyle w:val="Normal (Web)"/>
        <w:spacing w:line="480" w:lineRule="auto"/>
        <w:rPr>
          <w:rtl w:val="0"/>
        </w:rPr>
      </w:pPr>
      <w:r>
        <w:rPr>
          <w:rtl w:val="0"/>
          <w:lang w:val="en-US"/>
        </w:rPr>
        <w:t xml:space="preserve">Mol, A. 2002. </w:t>
      </w:r>
      <w:r>
        <w:rPr>
          <w:i w:val="1"/>
          <w:iCs w:val="1"/>
          <w:rtl w:val="0"/>
          <w:lang w:val="en-US"/>
        </w:rPr>
        <w:t xml:space="preserve">The Body Multiple: Ontology in Medical Practice. </w:t>
      </w:r>
      <w:r>
        <w:rPr>
          <w:rtl w:val="0"/>
          <w:lang w:val="en-US"/>
        </w:rPr>
        <w:t>Durham: Duke University Press.</w:t>
      </w:r>
    </w:p>
    <w:p>
      <w:pPr>
        <w:pStyle w:val="Normal (Web)"/>
        <w:spacing w:line="480" w:lineRule="auto"/>
        <w:rPr>
          <w:rtl w:val="0"/>
        </w:rPr>
      </w:pPr>
      <w:r>
        <w:rPr>
          <w:rtl w:val="0"/>
          <w:lang w:val="en-US"/>
        </w:rPr>
        <w:t xml:space="preserve">Mosko, Mark S. 2005. "Introduction: A (Re)Turn to Chaos: Chaos Theory, the Sciences, and Social Anthropological Theory," </w:t>
      </w:r>
      <w:r>
        <w:rPr>
          <w:i w:val="1"/>
          <w:iCs w:val="1"/>
          <w:rtl w:val="0"/>
          <w:lang w:val="en-US"/>
        </w:rPr>
        <w:t xml:space="preserve">in On the order of chaos: social anthropology &amp; the science of chaos. </w:t>
      </w:r>
      <w:r>
        <w:rPr>
          <w:rtl w:val="0"/>
          <w:lang w:val="en-US"/>
        </w:rPr>
        <w:t>Edited by M.S. Mosko and F.H. Damon, 1-46. New York: Berghahn Books.</w:t>
      </w:r>
    </w:p>
    <w:p>
      <w:pPr>
        <w:pStyle w:val="Body"/>
      </w:pPr>
      <w:r>
        <w:rPr>
          <w:rFonts w:ascii="Cambria" w:cs="Cambria" w:hAnsi="Cambria" w:eastAsia="Cambria"/>
          <w:rtl w:val="0"/>
          <w:lang w:val="en-US"/>
        </w:rPr>
        <w:t xml:space="preserve"> </w:t>
      </w:r>
    </w:p>
    <w:sectPr>
      <w:headerReference w:type="default" r:id="rId5"/>
      <w:footerReference w:type="default" r:id="rId6"/>
      <w:pgSz w:w="11900" w:h="16840" w:orient="portrait"/>
      <w:pgMar w:top="1701" w:right="1134" w:bottom="1701" w:left="1134"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612"/>
        <w:tab w:val="clear" w:pos="9638"/>
      </w:tabs>
      <w:jc w:val="center"/>
    </w:pPr>
    <w:r>
      <w:rPr>
        <w:rtl w:val="0"/>
      </w:rPr>
      <w:fldChar w:fldCharType="begin" w:fldLock="0"/>
    </w:r>
    <w:r>
      <w:rPr>
        <w:rtl w:val="0"/>
      </w:rPr>
      <w:t xml:space="preserve"> PAGE </w:t>
    </w:r>
    <w:r>
      <w:rPr>
        <w:rtl w:val="0"/>
      </w:rPr>
      <w:fldChar w:fldCharType="separate" w:fldLock="0"/>
    </w:r>
    <w:r>
      <w:rPr>
        <w:rtl w:val="0"/>
      </w:rPr>
      <w:t>4</w:t>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1304"/>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a-DK"/>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828039"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