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51691" w14:textId="77777777" w:rsidR="00AB7DD3" w:rsidRPr="007B3BB8" w:rsidRDefault="00FC7B76" w:rsidP="00640B97">
      <w:pPr>
        <w:jc w:val="center"/>
        <w:rPr>
          <w:b/>
        </w:rPr>
      </w:pPr>
      <w:r w:rsidRPr="007B3BB8">
        <w:rPr>
          <w:b/>
        </w:rPr>
        <w:t xml:space="preserve">Imagined </w:t>
      </w:r>
      <w:r w:rsidR="00273471" w:rsidRPr="007B3BB8">
        <w:rPr>
          <w:b/>
        </w:rPr>
        <w:t xml:space="preserve">and Invented </w:t>
      </w:r>
      <w:r w:rsidRPr="007B3BB8">
        <w:rPr>
          <w:b/>
        </w:rPr>
        <w:t>Worlds</w:t>
      </w:r>
    </w:p>
    <w:p w14:paraId="723F8D0B" w14:textId="77777777" w:rsidR="00640B97" w:rsidRPr="007B3BB8" w:rsidRDefault="00640B97" w:rsidP="00640B97">
      <w:pPr>
        <w:jc w:val="center"/>
      </w:pPr>
    </w:p>
    <w:p w14:paraId="0B12D892" w14:textId="77777777" w:rsidR="00640B97" w:rsidRPr="007B3BB8" w:rsidRDefault="00640B97" w:rsidP="00640B97">
      <w:pPr>
        <w:jc w:val="center"/>
      </w:pPr>
      <w:r w:rsidRPr="007B3BB8">
        <w:t>Sheila Jasanoff</w:t>
      </w:r>
    </w:p>
    <w:p w14:paraId="6D0B14C1" w14:textId="77777777" w:rsidR="00640B97" w:rsidRPr="007B3BB8" w:rsidRDefault="00640B97" w:rsidP="00640B97">
      <w:pPr>
        <w:jc w:val="center"/>
      </w:pPr>
    </w:p>
    <w:p w14:paraId="5D282766" w14:textId="77777777" w:rsidR="00640B97" w:rsidRPr="007B3BB8" w:rsidRDefault="00640B97" w:rsidP="00640B97">
      <w:pPr>
        <w:jc w:val="center"/>
      </w:pPr>
    </w:p>
    <w:p w14:paraId="687C547C" w14:textId="10019CB8" w:rsidR="00EF4E26" w:rsidRPr="007B3BB8" w:rsidRDefault="00723009" w:rsidP="00640B97">
      <w:pPr>
        <w:spacing w:line="480" w:lineRule="auto"/>
        <w:ind w:firstLine="720"/>
      </w:pPr>
      <w:r w:rsidRPr="007B3BB8">
        <w:t xml:space="preserve">Science and technology have been </w:t>
      </w:r>
      <w:r w:rsidR="00783707" w:rsidRPr="007B3BB8">
        <w:t>involved</w:t>
      </w:r>
      <w:r w:rsidR="007F0B74" w:rsidRPr="007B3BB8">
        <w:t xml:space="preserve"> in</w:t>
      </w:r>
      <w:r w:rsidRPr="007B3BB8">
        <w:t xml:space="preserve"> efforts to reimagine and reinvent human </w:t>
      </w:r>
      <w:r w:rsidR="009C7690" w:rsidRPr="007B3BB8">
        <w:t>societies</w:t>
      </w:r>
      <w:r w:rsidRPr="007B3BB8">
        <w:t xml:space="preserve"> for </w:t>
      </w:r>
      <w:r w:rsidR="00B528AE" w:rsidRPr="007B3BB8">
        <w:t xml:space="preserve">close to two </w:t>
      </w:r>
      <w:r w:rsidR="008E7715" w:rsidRPr="007B3BB8">
        <w:t>hundred years</w:t>
      </w:r>
      <w:r w:rsidRPr="007B3BB8">
        <w:t xml:space="preserve">.  </w:t>
      </w:r>
      <w:r w:rsidR="007165AE" w:rsidRPr="007B3BB8">
        <w:t>S</w:t>
      </w:r>
      <w:r w:rsidR="007C6765" w:rsidRPr="007B3BB8">
        <w:t xml:space="preserve">ocial </w:t>
      </w:r>
      <w:r w:rsidR="007165AE" w:rsidRPr="007B3BB8">
        <w:t>theory, however, has yet</w:t>
      </w:r>
      <w:r w:rsidRPr="007B3BB8">
        <w:t xml:space="preserve"> to </w:t>
      </w:r>
      <w:r w:rsidR="00FD67AA" w:rsidRPr="007B3BB8">
        <w:t xml:space="preserve">embrace this key </w:t>
      </w:r>
      <w:r w:rsidR="00115784" w:rsidRPr="007B3BB8">
        <w:t>dimension</w:t>
      </w:r>
      <w:r w:rsidR="00FD67AA" w:rsidRPr="007B3BB8">
        <w:t xml:space="preserve"> of</w:t>
      </w:r>
      <w:r w:rsidRPr="007B3BB8">
        <w:t xml:space="preserve"> </w:t>
      </w:r>
      <w:r w:rsidR="007C6765" w:rsidRPr="007B3BB8">
        <w:t>modernity</w:t>
      </w:r>
      <w:r w:rsidR="007165AE" w:rsidRPr="007B3BB8">
        <w:t xml:space="preserve"> </w:t>
      </w:r>
      <w:r w:rsidR="00FD67AA" w:rsidRPr="007B3BB8">
        <w:t xml:space="preserve">and to </w:t>
      </w:r>
      <w:r w:rsidR="00D758A9" w:rsidRPr="007B3BB8">
        <w:t>acknowledge</w:t>
      </w:r>
      <w:r w:rsidR="00FD67AA" w:rsidRPr="007B3BB8">
        <w:t xml:space="preserve"> the centrality of </w:t>
      </w:r>
      <w:r w:rsidR="006F536A" w:rsidRPr="007B3BB8">
        <w:t xml:space="preserve">these two </w:t>
      </w:r>
      <w:r w:rsidR="004D7618" w:rsidRPr="007B3BB8">
        <w:t>institutions</w:t>
      </w:r>
      <w:r w:rsidR="00FD67AA" w:rsidRPr="007B3BB8">
        <w:t xml:space="preserve"> in constructing the futures toward which we </w:t>
      </w:r>
      <w:r w:rsidR="00976D43">
        <w:t>direct</w:t>
      </w:r>
      <w:r w:rsidR="00FD67AA" w:rsidRPr="007B3BB8">
        <w:t xml:space="preserve"> our presents.  The concep</w:t>
      </w:r>
      <w:r w:rsidR="005506D7" w:rsidRPr="007B3BB8">
        <w:t>t of sociotechnical imaginaries</w:t>
      </w:r>
      <w:r w:rsidR="0040542F" w:rsidRPr="007B3BB8">
        <w:t xml:space="preserve"> </w:t>
      </w:r>
      <w:r w:rsidR="00092E07" w:rsidRPr="007B3BB8">
        <w:t>aims</w:t>
      </w:r>
      <w:r w:rsidR="00FD67AA" w:rsidRPr="007B3BB8">
        <w:t xml:space="preserve"> to do just </w:t>
      </w:r>
      <w:r w:rsidR="001864A9" w:rsidRPr="007B3BB8">
        <w:t>that</w:t>
      </w:r>
      <w:r w:rsidR="00FD67AA" w:rsidRPr="007B3BB8">
        <w:t>.</w:t>
      </w:r>
      <w:r w:rsidR="00092E07" w:rsidRPr="007B3BB8">
        <w:t xml:space="preserve">  It </w:t>
      </w:r>
      <w:r w:rsidR="0071414D" w:rsidRPr="007B3BB8">
        <w:t xml:space="preserve">takes as </w:t>
      </w:r>
      <w:r w:rsidR="007165AE" w:rsidRPr="007B3BB8">
        <w:t>its</w:t>
      </w:r>
      <w:r w:rsidR="0071414D" w:rsidRPr="007B3BB8">
        <w:t xml:space="preserve"> starting</w:t>
      </w:r>
      <w:r w:rsidR="00092E07" w:rsidRPr="007B3BB8">
        <w:t xml:space="preserve"> </w:t>
      </w:r>
      <w:r w:rsidR="007C6765" w:rsidRPr="007B3BB8">
        <w:t xml:space="preserve">point </w:t>
      </w:r>
      <w:r w:rsidR="00092E07" w:rsidRPr="007B3BB8">
        <w:t xml:space="preserve">the resurgence of </w:t>
      </w:r>
      <w:r w:rsidR="007165AE" w:rsidRPr="007B3BB8">
        <w:t xml:space="preserve">theoretical </w:t>
      </w:r>
      <w:r w:rsidR="00092E07" w:rsidRPr="007B3BB8">
        <w:t xml:space="preserve">interest in </w:t>
      </w:r>
      <w:r w:rsidR="0071414D" w:rsidRPr="007B3BB8">
        <w:t xml:space="preserve">the </w:t>
      </w:r>
      <w:r w:rsidR="00B528AE" w:rsidRPr="007B3BB8">
        <w:t>nature</w:t>
      </w:r>
      <w:r w:rsidR="0071414D" w:rsidRPr="007B3BB8">
        <w:t xml:space="preserve"> of </w:t>
      </w:r>
      <w:r w:rsidR="00092E07" w:rsidRPr="007B3BB8">
        <w:t xml:space="preserve">collective </w:t>
      </w:r>
      <w:r w:rsidR="004D7618" w:rsidRPr="007B3BB8">
        <w:t>self-understandings</w:t>
      </w:r>
      <w:r w:rsidR="008E7715" w:rsidRPr="007B3BB8">
        <w:t>,</w:t>
      </w:r>
      <w:r w:rsidR="004D7618" w:rsidRPr="007B3BB8">
        <w:t xml:space="preserve"> </w:t>
      </w:r>
      <w:r w:rsidR="007C6765" w:rsidRPr="007B3BB8">
        <w:t xml:space="preserve">but </w:t>
      </w:r>
      <w:r w:rsidR="0040542F" w:rsidRPr="007B3BB8">
        <w:t>offers a more comprehensive framework for thinking critically about</w:t>
      </w:r>
      <w:r w:rsidR="00092E07" w:rsidRPr="007B3BB8">
        <w:t xml:space="preserve"> </w:t>
      </w:r>
      <w:r w:rsidR="0040542F" w:rsidRPr="007B3BB8">
        <w:t xml:space="preserve">why societies </w:t>
      </w:r>
      <w:r w:rsidR="005739F8" w:rsidRPr="007B3BB8">
        <w:t>follow</w:t>
      </w:r>
      <w:r w:rsidR="0040542F" w:rsidRPr="007B3BB8">
        <w:t xml:space="preserve"> the </w:t>
      </w:r>
      <w:r w:rsidR="005739F8" w:rsidRPr="007B3BB8">
        <w:t>paths</w:t>
      </w:r>
      <w:r w:rsidR="0040542F" w:rsidRPr="007B3BB8">
        <w:t xml:space="preserve"> they do, </w:t>
      </w:r>
      <w:r w:rsidR="004D7618" w:rsidRPr="007B3BB8">
        <w:t xml:space="preserve">and </w:t>
      </w:r>
      <w:r w:rsidR="0040542F" w:rsidRPr="007B3BB8">
        <w:t xml:space="preserve">why some formations </w:t>
      </w:r>
      <w:r w:rsidR="00D758A9" w:rsidRPr="007B3BB8">
        <w:t>endure</w:t>
      </w:r>
      <w:r w:rsidR="0040542F" w:rsidRPr="007B3BB8">
        <w:t xml:space="preserve"> while others weaken and wither.</w:t>
      </w:r>
      <w:r w:rsidR="005739F8" w:rsidRPr="007B3BB8">
        <w:t xml:space="preserve"> </w:t>
      </w:r>
      <w:r w:rsidR="007F0B74" w:rsidRPr="007B3BB8">
        <w:t xml:space="preserve"> </w:t>
      </w:r>
      <w:r w:rsidR="00783707" w:rsidRPr="007B3BB8">
        <w:t xml:space="preserve">It incorporates pervasive elements of modern life that normally are not included in the analysis of power and organization, such as expertise, intellectual property, bioethics, nuclear power, computers, </w:t>
      </w:r>
      <w:r w:rsidR="007B512B" w:rsidRPr="007B3BB8">
        <w:t xml:space="preserve">the fear of pandemics, </w:t>
      </w:r>
      <w:r w:rsidR="00783707" w:rsidRPr="007B3BB8">
        <w:t xml:space="preserve">or genetically modified seeds.  </w:t>
      </w:r>
      <w:r w:rsidR="0040542F" w:rsidRPr="007B3BB8">
        <w:t xml:space="preserve">In this respect, </w:t>
      </w:r>
      <w:r w:rsidR="005506D7" w:rsidRPr="007B3BB8">
        <w:t xml:space="preserve">the sociotechnical imaginary </w:t>
      </w:r>
      <w:r w:rsidR="0040542F" w:rsidRPr="007B3BB8">
        <w:t xml:space="preserve">as laid out in this book is a voyaging concept: </w:t>
      </w:r>
      <w:r w:rsidR="00D94C55" w:rsidRPr="007B3BB8">
        <w:t xml:space="preserve">it facilitates theorizing across disciplinary boundaries </w:t>
      </w:r>
      <w:r w:rsidR="00783707" w:rsidRPr="007B3BB8">
        <w:t xml:space="preserve">by taking in ordinarily </w:t>
      </w:r>
      <w:r w:rsidR="00D94C55">
        <w:t>neglected</w:t>
      </w:r>
      <w:r w:rsidR="00783707" w:rsidRPr="007B3BB8">
        <w:t xml:space="preserve"> dimensions</w:t>
      </w:r>
      <w:r w:rsidR="00D94C55">
        <w:t xml:space="preserve"> of social thought and practice</w:t>
      </w:r>
      <w:r w:rsidR="00D758A9" w:rsidRPr="007B3BB8">
        <w:t>.  And i</w:t>
      </w:r>
      <w:r w:rsidR="005506D7" w:rsidRPr="007B3BB8">
        <w:t xml:space="preserve">n so doing, it </w:t>
      </w:r>
      <w:r w:rsidR="0040542F" w:rsidRPr="007B3BB8">
        <w:t>offers as much analytic mileage to traditional social science</w:t>
      </w:r>
      <w:r w:rsidR="004D7618" w:rsidRPr="007B3BB8">
        <w:t>s</w:t>
      </w:r>
      <w:r w:rsidR="0040542F" w:rsidRPr="007B3BB8">
        <w:t xml:space="preserve"> such as anthropology, </w:t>
      </w:r>
      <w:r w:rsidR="005506D7" w:rsidRPr="007B3BB8">
        <w:t xml:space="preserve">history, </w:t>
      </w:r>
      <w:r w:rsidR="0040542F" w:rsidRPr="007B3BB8">
        <w:t xml:space="preserve">sociology, </w:t>
      </w:r>
      <w:r w:rsidR="00D758A9" w:rsidRPr="007B3BB8">
        <w:t xml:space="preserve">legal studies, </w:t>
      </w:r>
      <w:r w:rsidR="0040542F" w:rsidRPr="007B3BB8">
        <w:t>and political theory as it does to science and technology</w:t>
      </w:r>
      <w:r w:rsidR="00530056" w:rsidRPr="007B3BB8">
        <w:t xml:space="preserve"> studies </w:t>
      </w:r>
      <w:r w:rsidR="007F0B74" w:rsidRPr="007B3BB8">
        <w:t>understood</w:t>
      </w:r>
      <w:r w:rsidR="00530056" w:rsidRPr="007B3BB8">
        <w:t xml:space="preserve"> </w:t>
      </w:r>
      <w:r w:rsidR="005506D7" w:rsidRPr="007B3BB8">
        <w:t>narrow</w:t>
      </w:r>
      <w:r w:rsidR="007F0B74" w:rsidRPr="007B3BB8">
        <w:t>ly</w:t>
      </w:r>
      <w:r w:rsidR="00530056" w:rsidRPr="007B3BB8">
        <w:t>.</w:t>
      </w:r>
      <w:r w:rsidR="007F0B74" w:rsidRPr="007B3BB8">
        <w:rPr>
          <w:rStyle w:val="EndnoteReference"/>
        </w:rPr>
        <w:endnoteReference w:id="1"/>
      </w:r>
      <w:r w:rsidR="0040542F" w:rsidRPr="007B3BB8">
        <w:t xml:space="preserve"> </w:t>
      </w:r>
    </w:p>
    <w:p w14:paraId="04C2107D" w14:textId="29B338A9" w:rsidR="007C1D76" w:rsidRPr="007B3BB8" w:rsidRDefault="003774E6" w:rsidP="00115784">
      <w:pPr>
        <w:spacing w:line="480" w:lineRule="auto"/>
        <w:ind w:firstLine="720"/>
      </w:pPr>
      <w:r w:rsidRPr="007B3BB8">
        <w:t xml:space="preserve">Just as imagination liberates </w:t>
      </w:r>
      <w:r w:rsidR="008E1CAD" w:rsidRPr="007B3BB8">
        <w:t>the mind</w:t>
      </w:r>
      <w:r w:rsidRPr="007B3BB8">
        <w:t xml:space="preserve"> to rise beyond the constraints of </w:t>
      </w:r>
      <w:r w:rsidR="00901FDD" w:rsidRPr="007B3BB8">
        <w:t>the</w:t>
      </w:r>
      <w:r w:rsidRPr="007B3BB8">
        <w:t xml:space="preserve"> possible, so </w:t>
      </w:r>
      <w:r w:rsidR="0029334F" w:rsidRPr="007B3BB8">
        <w:t xml:space="preserve">too </w:t>
      </w:r>
      <w:r w:rsidRPr="007B3BB8">
        <w:t xml:space="preserve">the lens of sociotechnical </w:t>
      </w:r>
      <w:r w:rsidR="001B6E5F" w:rsidRPr="007B3BB8">
        <w:t>imaginaries</w:t>
      </w:r>
      <w:r w:rsidRPr="007B3BB8">
        <w:t xml:space="preserve"> </w:t>
      </w:r>
      <w:r w:rsidR="0029334F" w:rsidRPr="007B3BB8">
        <w:t>enables</w:t>
      </w:r>
      <w:r w:rsidR="008E1CAD" w:rsidRPr="007B3BB8">
        <w:t xml:space="preserve"> us</w:t>
      </w:r>
      <w:r w:rsidR="00901FDD" w:rsidRPr="007B3BB8">
        <w:t>, as analysts,</w:t>
      </w:r>
      <w:r w:rsidR="008E1CAD" w:rsidRPr="007B3BB8">
        <w:t xml:space="preserve"> to look for patterns and juxtapositions </w:t>
      </w:r>
      <w:r w:rsidR="00502B63" w:rsidRPr="007B3BB8">
        <w:t>that cut across</w:t>
      </w:r>
      <w:r w:rsidR="00CD384C" w:rsidRPr="007B3BB8">
        <w:t xml:space="preserve"> the conventional </w:t>
      </w:r>
      <w:r w:rsidR="00502B63" w:rsidRPr="007B3BB8">
        <w:t>grid lines</w:t>
      </w:r>
      <w:r w:rsidR="00CD384C" w:rsidRPr="007B3BB8">
        <w:t xml:space="preserve"> of disciplines. </w:t>
      </w:r>
      <w:r w:rsidR="00115784" w:rsidRPr="007B3BB8">
        <w:t xml:space="preserve"> </w:t>
      </w:r>
      <w:r w:rsidR="004724F2" w:rsidRPr="007B3BB8">
        <w:t xml:space="preserve">Imaginaries, to some extent, </w:t>
      </w:r>
      <w:r w:rsidR="001356C3" w:rsidRPr="007B3BB8">
        <w:t>belong to</w:t>
      </w:r>
      <w:r w:rsidR="004724F2" w:rsidRPr="007B3BB8">
        <w:t xml:space="preserve"> the disciplinary common </w:t>
      </w:r>
      <w:r w:rsidR="00726AAB" w:rsidRPr="007B3BB8">
        <w:t>property</w:t>
      </w:r>
      <w:r w:rsidR="004724F2" w:rsidRPr="007B3BB8">
        <w:t xml:space="preserve"> of </w:t>
      </w:r>
      <w:r w:rsidR="004724F2" w:rsidRPr="007B3BB8">
        <w:lastRenderedPageBreak/>
        <w:t xml:space="preserve">anthropology, but they have </w:t>
      </w:r>
      <w:r w:rsidR="00502B63" w:rsidRPr="007B3BB8">
        <w:t>found their way</w:t>
      </w:r>
      <w:r w:rsidR="00E14857" w:rsidRPr="007B3BB8">
        <w:t xml:space="preserve"> into </w:t>
      </w:r>
      <w:r w:rsidR="004724F2" w:rsidRPr="007B3BB8">
        <w:t>political theory</w:t>
      </w:r>
      <w:r w:rsidR="00976D43">
        <w:t>, and thereby into new projects of analysis and explanation,</w:t>
      </w:r>
      <w:r w:rsidR="004724F2" w:rsidRPr="007B3BB8">
        <w:t xml:space="preserve"> </w:t>
      </w:r>
      <w:r w:rsidR="00502B63" w:rsidRPr="007B3BB8">
        <w:t>through</w:t>
      </w:r>
      <w:r w:rsidR="004724F2" w:rsidRPr="007B3BB8">
        <w:t xml:space="preserve"> </w:t>
      </w:r>
      <w:r w:rsidR="00864304" w:rsidRPr="007B3BB8">
        <w:t xml:space="preserve">such </w:t>
      </w:r>
      <w:r w:rsidR="004724F2" w:rsidRPr="007B3BB8">
        <w:t>anthropologically</w:t>
      </w:r>
      <w:r w:rsidR="00502B63" w:rsidRPr="007B3BB8">
        <w:t>-minded</w:t>
      </w:r>
      <w:r w:rsidR="004724F2" w:rsidRPr="007B3BB8">
        <w:t xml:space="preserve"> scholars as Benedict Anderson and Charles Taylor</w:t>
      </w:r>
      <w:r w:rsidR="001356C3" w:rsidRPr="007B3BB8">
        <w:t xml:space="preserve">.  Imaginaries </w:t>
      </w:r>
      <w:r w:rsidR="00E14857" w:rsidRPr="007B3BB8">
        <w:t xml:space="preserve">have </w:t>
      </w:r>
      <w:r w:rsidR="00502B63" w:rsidRPr="007B3BB8">
        <w:t xml:space="preserve">also </w:t>
      </w:r>
      <w:r w:rsidR="00E14857" w:rsidRPr="007B3BB8">
        <w:t xml:space="preserve">migrated </w:t>
      </w:r>
      <w:r w:rsidR="00502B63" w:rsidRPr="007B3BB8">
        <w:t>in</w:t>
      </w:r>
      <w:r w:rsidR="00E14857" w:rsidRPr="007B3BB8">
        <w:t>to</w:t>
      </w:r>
      <w:r w:rsidR="004724F2" w:rsidRPr="007B3BB8">
        <w:t xml:space="preserve"> science and technology studies through writers concerned with </w:t>
      </w:r>
      <w:r w:rsidR="00012FFD" w:rsidRPr="007B3BB8">
        <w:t>the interpenetration</w:t>
      </w:r>
      <w:r w:rsidR="004724F2" w:rsidRPr="007B3BB8">
        <w:t xml:space="preserve"> of </w:t>
      </w:r>
      <w:r w:rsidR="005739F8" w:rsidRPr="007B3BB8">
        <w:t>knowledge</w:t>
      </w:r>
      <w:r w:rsidR="00783707" w:rsidRPr="007B3BB8">
        <w:t>, materiality,</w:t>
      </w:r>
      <w:r w:rsidR="00502B63" w:rsidRPr="007B3BB8">
        <w:t xml:space="preserve"> and power.  H</w:t>
      </w:r>
      <w:r w:rsidR="004724F2" w:rsidRPr="007B3BB8">
        <w:t>ow</w:t>
      </w:r>
      <w:r w:rsidR="00502B63" w:rsidRPr="007B3BB8">
        <w:t>, for example, do</w:t>
      </w:r>
      <w:r w:rsidR="004724F2" w:rsidRPr="007B3BB8">
        <w:t xml:space="preserve"> </w:t>
      </w:r>
      <w:r w:rsidR="00837DEA" w:rsidRPr="007B3BB8">
        <w:t xml:space="preserve">our </w:t>
      </w:r>
      <w:r w:rsidR="00012FFD" w:rsidRPr="007B3BB8">
        <w:t xml:space="preserve">co-produced </w:t>
      </w:r>
      <w:r w:rsidR="00837DEA" w:rsidRPr="007B3BB8">
        <w:t>sociotechnical</w:t>
      </w:r>
      <w:r w:rsidR="00012FFD" w:rsidRPr="007B3BB8">
        <w:t xml:space="preserve"> formations</w:t>
      </w:r>
      <w:r w:rsidR="004724F2" w:rsidRPr="007B3BB8">
        <w:t xml:space="preserve"> bear on </w:t>
      </w:r>
      <w:r w:rsidR="005739F8" w:rsidRPr="007B3BB8">
        <w:t>t</w:t>
      </w:r>
      <w:r w:rsidR="00FC5A08" w:rsidRPr="007B3BB8">
        <w:t>h</w:t>
      </w:r>
      <w:r w:rsidR="005739F8" w:rsidRPr="007B3BB8">
        <w:t xml:space="preserve">e potential for </w:t>
      </w:r>
      <w:r w:rsidR="004724F2" w:rsidRPr="007B3BB8">
        <w:t>concerted action, stability</w:t>
      </w:r>
      <w:r w:rsidR="00502B63" w:rsidRPr="007B3BB8">
        <w:t>, resistance or</w:t>
      </w:r>
      <w:r w:rsidR="004724F2" w:rsidRPr="007B3BB8">
        <w:t xml:space="preserve"> conflict</w:t>
      </w:r>
      <w:r w:rsidR="00012FFD" w:rsidRPr="007B3BB8">
        <w:t xml:space="preserve"> </w:t>
      </w:r>
      <w:r w:rsidR="004724F2" w:rsidRPr="007B3BB8">
        <w:t xml:space="preserve">(Jasanoff </w:t>
      </w:r>
      <w:r w:rsidR="000A7A42" w:rsidRPr="007B3BB8">
        <w:t>1996, 2001</w:t>
      </w:r>
      <w:r w:rsidR="00B11E7C">
        <w:t>, 2004</w:t>
      </w:r>
      <w:r w:rsidR="00783707" w:rsidRPr="007B3BB8">
        <w:t>; Mitchell 2002</w:t>
      </w:r>
      <w:r w:rsidR="00502B63" w:rsidRPr="007B3BB8">
        <w:t>)?</w:t>
      </w:r>
      <w:r w:rsidR="004724F2" w:rsidRPr="007B3BB8">
        <w:t xml:space="preserve">  </w:t>
      </w:r>
      <w:r w:rsidR="00CD384C" w:rsidRPr="007B3BB8">
        <w:t xml:space="preserve">As noted in the introduction, </w:t>
      </w:r>
      <w:r w:rsidR="00502B63" w:rsidRPr="007B3BB8">
        <w:t>sociotechnical imaginaries</w:t>
      </w:r>
      <w:r w:rsidR="00CD384C" w:rsidRPr="007B3BB8">
        <w:t xml:space="preserve"> </w:t>
      </w:r>
      <w:r w:rsidR="00502B63" w:rsidRPr="007B3BB8">
        <w:t>offer</w:t>
      </w:r>
      <w:r w:rsidR="00CD384C" w:rsidRPr="007B3BB8">
        <w:t xml:space="preserve"> </w:t>
      </w:r>
      <w:r w:rsidR="007165AE" w:rsidRPr="007B3BB8">
        <w:t>enlightening</w:t>
      </w:r>
      <w:r w:rsidR="00CD384C" w:rsidRPr="007B3BB8">
        <w:t xml:space="preserve"> </w:t>
      </w:r>
      <w:r w:rsidR="00115784" w:rsidRPr="007B3BB8">
        <w:t>perspectives on</w:t>
      </w:r>
      <w:r w:rsidR="001B6E5F" w:rsidRPr="007B3BB8">
        <w:t xml:space="preserve"> </w:t>
      </w:r>
      <w:r w:rsidR="00FE4851" w:rsidRPr="007B3BB8">
        <w:t xml:space="preserve">questions </w:t>
      </w:r>
      <w:r w:rsidR="000A7A42" w:rsidRPr="007B3BB8">
        <w:t>of</w:t>
      </w:r>
      <w:r w:rsidR="001B6E5F" w:rsidRPr="007B3BB8">
        <w:t xml:space="preserve"> difference, time, space, and identity that form the </w:t>
      </w:r>
      <w:r w:rsidR="007B512B" w:rsidRPr="007B3BB8">
        <w:t>classic</w:t>
      </w:r>
      <w:r w:rsidR="00115784" w:rsidRPr="007B3BB8">
        <w:t xml:space="preserve"> </w:t>
      </w:r>
      <w:r w:rsidR="005739F8" w:rsidRPr="007B3BB8">
        <w:t xml:space="preserve">subject </w:t>
      </w:r>
      <w:r w:rsidR="00115784" w:rsidRPr="007B3BB8">
        <w:t>matter</w:t>
      </w:r>
      <w:r w:rsidR="001B6E5F" w:rsidRPr="007B3BB8">
        <w:t xml:space="preserve"> of social </w:t>
      </w:r>
      <w:r w:rsidR="00B52B03" w:rsidRPr="007B3BB8">
        <w:t>thought</w:t>
      </w:r>
      <w:r w:rsidR="00115784" w:rsidRPr="007B3BB8">
        <w:t xml:space="preserve">.  </w:t>
      </w:r>
      <w:r w:rsidR="001B6E5F" w:rsidRPr="007B3BB8">
        <w:t xml:space="preserve">The introductory chapter </w:t>
      </w:r>
      <w:r w:rsidR="00502B63" w:rsidRPr="007B3BB8">
        <w:t>mapped the</w:t>
      </w:r>
      <w:r w:rsidR="001B6E5F" w:rsidRPr="007B3BB8">
        <w:t xml:space="preserve"> </w:t>
      </w:r>
      <w:r w:rsidR="00B105FE" w:rsidRPr="007B3BB8">
        <w:t xml:space="preserve">major </w:t>
      </w:r>
      <w:r w:rsidR="00FC5A08" w:rsidRPr="007B3BB8">
        <w:t xml:space="preserve">theoretical and </w:t>
      </w:r>
      <w:r w:rsidR="001B6E5F" w:rsidRPr="007B3BB8">
        <w:t xml:space="preserve">methodological </w:t>
      </w:r>
      <w:r w:rsidR="007C1D76" w:rsidRPr="007B3BB8">
        <w:t>issues</w:t>
      </w:r>
      <w:r w:rsidR="00DF2CFD" w:rsidRPr="007B3BB8">
        <w:t xml:space="preserve"> raised</w:t>
      </w:r>
      <w:r w:rsidR="00012FFD" w:rsidRPr="007B3BB8">
        <w:t xml:space="preserve"> in</w:t>
      </w:r>
      <w:r w:rsidR="001B6E5F" w:rsidRPr="007B3BB8">
        <w:t xml:space="preserve"> working with</w:t>
      </w:r>
      <w:r w:rsidR="00D85BF6" w:rsidRPr="007B3BB8">
        <w:t xml:space="preserve"> sociotechnical imaginaries</w:t>
      </w:r>
      <w:r w:rsidR="001B6E5F" w:rsidRPr="007B3BB8">
        <w:t xml:space="preserve">: </w:t>
      </w:r>
      <w:r w:rsidR="007C1D76" w:rsidRPr="007B3BB8">
        <w:t xml:space="preserve">when does it make sense to invoke </w:t>
      </w:r>
      <w:r w:rsidR="00D85BF6" w:rsidRPr="007B3BB8">
        <w:t>the concept</w:t>
      </w:r>
      <w:r w:rsidR="00DF2CFD" w:rsidRPr="007B3BB8">
        <w:t>;</w:t>
      </w:r>
      <w:r w:rsidR="007C1D76" w:rsidRPr="007B3BB8">
        <w:t xml:space="preserve"> </w:t>
      </w:r>
      <w:r w:rsidR="00502B63" w:rsidRPr="007B3BB8">
        <w:t>with what methods can we study them</w:t>
      </w:r>
      <w:r w:rsidR="00DF2CFD" w:rsidRPr="007B3BB8">
        <w:t>;</w:t>
      </w:r>
      <w:r w:rsidR="001B6E5F" w:rsidRPr="007B3BB8">
        <w:t xml:space="preserve"> and what counts as evidence</w:t>
      </w:r>
      <w:r w:rsidR="008A002D" w:rsidRPr="007B3BB8">
        <w:t xml:space="preserve"> of their existence </w:t>
      </w:r>
      <w:r w:rsidR="007C1D76" w:rsidRPr="007B3BB8">
        <w:t>or</w:t>
      </w:r>
      <w:r w:rsidR="008A002D" w:rsidRPr="007B3BB8">
        <w:t xml:space="preserve"> effects</w:t>
      </w:r>
      <w:r w:rsidR="001B6E5F" w:rsidRPr="007B3BB8">
        <w:t>?</w:t>
      </w:r>
      <w:r w:rsidR="00B52B03" w:rsidRPr="007B3BB8">
        <w:t xml:space="preserve"> </w:t>
      </w:r>
      <w:r w:rsidR="00502B63" w:rsidRPr="007B3BB8">
        <w:t xml:space="preserve"> In this concluding chapter</w:t>
      </w:r>
      <w:r w:rsidR="00B52B03" w:rsidRPr="007B3BB8">
        <w:t xml:space="preserve">, I </w:t>
      </w:r>
      <w:r w:rsidR="00D94C55">
        <w:t>offer</w:t>
      </w:r>
      <w:r w:rsidR="00302139" w:rsidRPr="007B3BB8">
        <w:t xml:space="preserve"> </w:t>
      </w:r>
      <w:r w:rsidR="00012FFD" w:rsidRPr="007B3BB8">
        <w:t>a</w:t>
      </w:r>
      <w:r w:rsidR="00B52B03" w:rsidRPr="007B3BB8">
        <w:t xml:space="preserve"> </w:t>
      </w:r>
      <w:r w:rsidR="00C45F02" w:rsidRPr="007B3BB8">
        <w:t xml:space="preserve">more comprehensive </w:t>
      </w:r>
      <w:r w:rsidR="00B52B03" w:rsidRPr="007B3BB8">
        <w:t>narrative of social change</w:t>
      </w:r>
      <w:r w:rsidR="00D03959" w:rsidRPr="007B3BB8">
        <w:t>, accounting for both lock-ins and transcendence,</w:t>
      </w:r>
      <w:r w:rsidR="00B52B03" w:rsidRPr="007B3BB8">
        <w:t xml:space="preserve"> that emerges from </w:t>
      </w:r>
      <w:r w:rsidR="00804B4E" w:rsidRPr="007B3BB8">
        <w:t xml:space="preserve">empirical </w:t>
      </w:r>
      <w:r w:rsidR="00B52B03" w:rsidRPr="007B3BB8">
        <w:t xml:space="preserve">work on the nature and </w:t>
      </w:r>
      <w:r w:rsidR="00302139" w:rsidRPr="007B3BB8">
        <w:t>operation</w:t>
      </w:r>
      <w:r w:rsidR="00B52B03" w:rsidRPr="007B3BB8">
        <w:t xml:space="preserve"> of sociotechnical imaginaries.</w:t>
      </w:r>
      <w:r w:rsidR="00837DEA" w:rsidRPr="007B3BB8">
        <w:t xml:space="preserve">  This </w:t>
      </w:r>
      <w:r w:rsidR="00C45F02" w:rsidRPr="007B3BB8">
        <w:t>is a reflection</w:t>
      </w:r>
      <w:r w:rsidR="00837DEA" w:rsidRPr="007B3BB8">
        <w:t xml:space="preserve"> on what we should be looking for when we study sociotechnical imaginaries, and what lessons </w:t>
      </w:r>
      <w:r w:rsidR="00D94C55">
        <w:t xml:space="preserve">we </w:t>
      </w:r>
      <w:r w:rsidR="00D94C55" w:rsidRPr="007B3BB8">
        <w:t xml:space="preserve">can </w:t>
      </w:r>
      <w:r w:rsidR="00D94C55">
        <w:t>glean</w:t>
      </w:r>
      <w:r w:rsidR="00D94C55" w:rsidRPr="007B3BB8">
        <w:t xml:space="preserve"> from such undertakings </w:t>
      </w:r>
      <w:r w:rsidR="002763EC" w:rsidRPr="007B3BB8">
        <w:t>about</w:t>
      </w:r>
      <w:r w:rsidR="00837DEA" w:rsidRPr="007B3BB8">
        <w:t xml:space="preserve"> </w:t>
      </w:r>
      <w:r w:rsidR="006A2597">
        <w:t>the social</w:t>
      </w:r>
      <w:r w:rsidR="00837DEA" w:rsidRPr="007B3BB8">
        <w:t xml:space="preserve"> fabrication of power </w:t>
      </w:r>
      <w:r w:rsidR="00C45F02" w:rsidRPr="007B3BB8">
        <w:t>and meaning</w:t>
      </w:r>
      <w:r w:rsidR="00837DEA" w:rsidRPr="007B3BB8">
        <w:t>.</w:t>
      </w:r>
    </w:p>
    <w:p w14:paraId="23FF2D0E" w14:textId="00F5E073" w:rsidR="00D92C9F" w:rsidRPr="007B3BB8" w:rsidRDefault="00115784" w:rsidP="00FE4851">
      <w:pPr>
        <w:spacing w:line="480" w:lineRule="auto"/>
        <w:ind w:firstLine="720"/>
      </w:pPr>
      <w:r w:rsidRPr="007B3BB8">
        <w:t xml:space="preserve"> </w:t>
      </w:r>
      <w:r w:rsidR="00FE4851" w:rsidRPr="007B3BB8">
        <w:t xml:space="preserve">The </w:t>
      </w:r>
      <w:r w:rsidR="00EA19AD" w:rsidRPr="007B3BB8">
        <w:t>essays</w:t>
      </w:r>
      <w:r w:rsidR="00FE4851" w:rsidRPr="007B3BB8">
        <w:t xml:space="preserve"> in this collection </w:t>
      </w:r>
      <w:r w:rsidR="0029334F" w:rsidRPr="007B3BB8">
        <w:t>serve</w:t>
      </w:r>
      <w:r w:rsidR="00FE4851" w:rsidRPr="007B3BB8">
        <w:t xml:space="preserve"> at one level as case studies, illustrating how sociotechnical imaginaries take shape in varied </w:t>
      </w:r>
      <w:r w:rsidR="00C436E3" w:rsidRPr="007B3BB8">
        <w:t xml:space="preserve">social </w:t>
      </w:r>
      <w:r w:rsidR="00FE4851" w:rsidRPr="007B3BB8">
        <w:t>and cultural contexts</w:t>
      </w:r>
      <w:r w:rsidR="00C45F02" w:rsidRPr="007B3BB8">
        <w:t xml:space="preserve">, and how they </w:t>
      </w:r>
      <w:r w:rsidR="00394B4E">
        <w:t xml:space="preserve">in turn </w:t>
      </w:r>
      <w:r w:rsidR="00C45F02" w:rsidRPr="007B3BB8">
        <w:t xml:space="preserve">help </w:t>
      </w:r>
      <w:r w:rsidR="00B11E7C">
        <w:t>re</w:t>
      </w:r>
      <w:r w:rsidR="00057EC9">
        <w:t>orient</w:t>
      </w:r>
      <w:r w:rsidR="00C45F02" w:rsidRPr="007B3BB8">
        <w:t xml:space="preserve"> the evolution of those contexts</w:t>
      </w:r>
      <w:r w:rsidR="00FE4851" w:rsidRPr="007B3BB8">
        <w:t xml:space="preserve">.  </w:t>
      </w:r>
      <w:r w:rsidR="00057EC9">
        <w:t>These studies</w:t>
      </w:r>
      <w:r w:rsidR="0029334F" w:rsidRPr="007B3BB8">
        <w:t xml:space="preserve"> exemplify </w:t>
      </w:r>
      <w:r w:rsidR="00057EC9">
        <w:t>but also</w:t>
      </w:r>
      <w:r w:rsidR="0029334F" w:rsidRPr="007B3BB8">
        <w:t xml:space="preserve"> </w:t>
      </w:r>
      <w:r w:rsidR="00C45F02" w:rsidRPr="007B3BB8">
        <w:t>elaborate on</w:t>
      </w:r>
      <w:r w:rsidR="0029334F" w:rsidRPr="007B3BB8">
        <w:t xml:space="preserve"> the definition offered in the introduction</w:t>
      </w:r>
      <w:r w:rsidR="00B03884" w:rsidRPr="007B3BB8">
        <w:t xml:space="preserve">.  Sociotechnical imaginaries, in our view, are </w:t>
      </w:r>
      <w:r w:rsidR="0029334F" w:rsidRPr="007B3BB8">
        <w:t xml:space="preserve">“collectively held, institutionally stabilized, and publicly performed visions of desirable futures, animated by shared understandings of forms of social life and social </w:t>
      </w:r>
      <w:r w:rsidR="0029334F" w:rsidRPr="007B3BB8">
        <w:lastRenderedPageBreak/>
        <w:t>order attainable through, and supportive of, advances in science and technology.”  Standing on their own</w:t>
      </w:r>
      <w:r w:rsidR="00804B4E" w:rsidRPr="007B3BB8">
        <w:t xml:space="preserve">, and </w:t>
      </w:r>
      <w:r w:rsidR="00BA518C" w:rsidRPr="007B3BB8">
        <w:t>marrying theory and observation</w:t>
      </w:r>
      <w:r w:rsidR="0029334F" w:rsidRPr="007B3BB8">
        <w:t>, the chapters</w:t>
      </w:r>
      <w:r w:rsidR="00FE4851" w:rsidRPr="007B3BB8">
        <w:t xml:space="preserve"> </w:t>
      </w:r>
      <w:r w:rsidR="00D94C55">
        <w:t>play</w:t>
      </w:r>
      <w:r w:rsidR="00BA518C" w:rsidRPr="007B3BB8">
        <w:t xml:space="preserve"> rich </w:t>
      </w:r>
      <w:r w:rsidR="00B80703" w:rsidRPr="007B3BB8">
        <w:t>variations</w:t>
      </w:r>
      <w:r w:rsidR="00BA518C" w:rsidRPr="007B3BB8">
        <w:t xml:space="preserve"> on </w:t>
      </w:r>
      <w:r w:rsidR="00B03884" w:rsidRPr="007B3BB8">
        <w:t>this</w:t>
      </w:r>
      <w:r w:rsidR="00BA518C" w:rsidRPr="007B3BB8">
        <w:t xml:space="preserve"> definition</w:t>
      </w:r>
      <w:r w:rsidR="00FE4851" w:rsidRPr="007B3BB8">
        <w:t xml:space="preserve">.  Taken together, however, they </w:t>
      </w:r>
      <w:r w:rsidR="00EA19AD" w:rsidRPr="007B3BB8">
        <w:t xml:space="preserve">also </w:t>
      </w:r>
      <w:r w:rsidR="00FE4851" w:rsidRPr="007B3BB8">
        <w:t xml:space="preserve">provide a powerful </w:t>
      </w:r>
      <w:r w:rsidR="00B03884" w:rsidRPr="007B3BB8">
        <w:t xml:space="preserve">new </w:t>
      </w:r>
      <w:r w:rsidR="00FE4851" w:rsidRPr="007B3BB8">
        <w:t>angle on worl</w:t>
      </w:r>
      <w:r w:rsidR="000165F0">
        <w:t xml:space="preserve">d-making: </w:t>
      </w:r>
      <w:r w:rsidR="00FE4851" w:rsidRPr="007B3BB8">
        <w:t xml:space="preserve">one that rejects linear causality and </w:t>
      </w:r>
      <w:r w:rsidR="002E0057" w:rsidRPr="007B3BB8">
        <w:t>excessively</w:t>
      </w:r>
      <w:r w:rsidR="00FE4851" w:rsidRPr="007B3BB8">
        <w:t xml:space="preserve"> actor-centered histories while at the same time retaining an empirical focus on where </w:t>
      </w:r>
      <w:r w:rsidR="00C436E3" w:rsidRPr="007B3BB8">
        <w:t xml:space="preserve">transformative </w:t>
      </w:r>
      <w:r w:rsidR="00FE4851" w:rsidRPr="007B3BB8">
        <w:t>ideas come from</w:t>
      </w:r>
      <w:r w:rsidR="002E0057" w:rsidRPr="007B3BB8">
        <w:t xml:space="preserve">, how they acquire </w:t>
      </w:r>
      <w:r w:rsidR="00B80703" w:rsidRPr="007B3BB8">
        <w:t>mass</w:t>
      </w:r>
      <w:r w:rsidR="00C436E3" w:rsidRPr="007B3BB8">
        <w:t xml:space="preserve"> and solidity</w:t>
      </w:r>
      <w:r w:rsidR="002E0057" w:rsidRPr="007B3BB8">
        <w:t>,</w:t>
      </w:r>
      <w:r w:rsidR="00FE4851" w:rsidRPr="007B3BB8">
        <w:t xml:space="preserve"> and how imagination</w:t>
      </w:r>
      <w:r w:rsidR="00804B4E" w:rsidRPr="007B3BB8">
        <w:t>,</w:t>
      </w:r>
      <w:r w:rsidR="00FE4851" w:rsidRPr="007B3BB8">
        <w:t xml:space="preserve"> </w:t>
      </w:r>
      <w:r w:rsidR="00B80703" w:rsidRPr="007B3BB8">
        <w:t>objects</w:t>
      </w:r>
      <w:r w:rsidR="00804B4E" w:rsidRPr="007B3BB8">
        <w:t xml:space="preserve">, and </w:t>
      </w:r>
      <w:r w:rsidR="00057EC9">
        <w:t>s</w:t>
      </w:r>
      <w:r w:rsidR="00804B4E" w:rsidRPr="007B3BB8">
        <w:t xml:space="preserve">ocial </w:t>
      </w:r>
      <w:r w:rsidR="00057EC9">
        <w:t>norms</w:t>
      </w:r>
      <w:r w:rsidR="002763EC" w:rsidRPr="007B3BB8">
        <w:t xml:space="preserve">—including </w:t>
      </w:r>
      <w:r w:rsidR="00057EC9">
        <w:t>accepted modes</w:t>
      </w:r>
      <w:r w:rsidR="002763EC" w:rsidRPr="007B3BB8">
        <w:t xml:space="preserve"> of </w:t>
      </w:r>
      <w:r w:rsidR="00057EC9">
        <w:t xml:space="preserve">public </w:t>
      </w:r>
      <w:r w:rsidR="002763EC" w:rsidRPr="007B3BB8">
        <w:t xml:space="preserve">reasoning and </w:t>
      </w:r>
      <w:r w:rsidR="00B80703" w:rsidRPr="007B3BB8">
        <w:t xml:space="preserve">new </w:t>
      </w:r>
      <w:r w:rsidR="002763EC" w:rsidRPr="007B3BB8">
        <w:t>technological regimes—</w:t>
      </w:r>
      <w:r w:rsidR="00FE4851" w:rsidRPr="007B3BB8">
        <w:t xml:space="preserve">become </w:t>
      </w:r>
      <w:r w:rsidR="00C45F02" w:rsidRPr="007B3BB8">
        <w:t>fused</w:t>
      </w:r>
      <w:r w:rsidR="00FE4851" w:rsidRPr="007B3BB8">
        <w:t xml:space="preserve"> in practice.</w:t>
      </w:r>
      <w:r w:rsidR="00D03959" w:rsidRPr="007B3BB8">
        <w:t xml:space="preserve">  </w:t>
      </w:r>
      <w:r w:rsidR="00FE4851" w:rsidRPr="007B3BB8">
        <w:t xml:space="preserve">  </w:t>
      </w:r>
    </w:p>
    <w:p w14:paraId="0F703AEB" w14:textId="0203836B" w:rsidR="00864304" w:rsidRPr="007B3BB8" w:rsidRDefault="00FE4851" w:rsidP="00D92C9F">
      <w:pPr>
        <w:spacing w:line="480" w:lineRule="auto"/>
        <w:ind w:firstLine="720"/>
      </w:pPr>
      <w:r w:rsidRPr="007B3BB8">
        <w:t xml:space="preserve">Reading across the cases, one finds </w:t>
      </w:r>
      <w:r w:rsidR="00C32044" w:rsidRPr="007B3BB8">
        <w:t xml:space="preserve">a number of recurrent emphases that </w:t>
      </w:r>
      <w:r w:rsidR="0029334F" w:rsidRPr="007B3BB8">
        <w:t>add up</w:t>
      </w:r>
      <w:r w:rsidR="00E87D31" w:rsidRPr="007B3BB8">
        <w:t xml:space="preserve"> in effect to an account of collective belief-formation</w:t>
      </w:r>
      <w:r w:rsidR="0029334F" w:rsidRPr="007B3BB8">
        <w:t xml:space="preserve"> in scientific</w:t>
      </w:r>
      <w:r w:rsidR="00B03884" w:rsidRPr="007B3BB8">
        <w:t>ally</w:t>
      </w:r>
      <w:r w:rsidR="0029334F" w:rsidRPr="007B3BB8">
        <w:t xml:space="preserve"> and technologically </w:t>
      </w:r>
      <w:r w:rsidR="00C45F02" w:rsidRPr="007B3BB8">
        <w:t>engaged</w:t>
      </w:r>
      <w:r w:rsidR="0029334F" w:rsidRPr="007B3BB8">
        <w:t xml:space="preserve"> societies</w:t>
      </w:r>
      <w:r w:rsidR="00D92C9F" w:rsidRPr="007B3BB8">
        <w:t xml:space="preserve">.  </w:t>
      </w:r>
      <w:r w:rsidR="007C1D76" w:rsidRPr="007B3BB8">
        <w:t xml:space="preserve">First, </w:t>
      </w:r>
      <w:r w:rsidR="00C32044" w:rsidRPr="007B3BB8">
        <w:t>work in the imaginaries framework necessarily</w:t>
      </w:r>
      <w:r w:rsidR="007C1D76" w:rsidRPr="007B3BB8">
        <w:t xml:space="preserve"> invites us to examine the </w:t>
      </w:r>
      <w:r w:rsidR="007C1D76" w:rsidRPr="007B3BB8">
        <w:rPr>
          <w:i/>
        </w:rPr>
        <w:t>origin</w:t>
      </w:r>
      <w:r w:rsidR="007C1D76" w:rsidRPr="007B3BB8">
        <w:t xml:space="preserve"> of new </w:t>
      </w:r>
      <w:r w:rsidR="00A81D98" w:rsidRPr="007B3BB8">
        <w:t>scientific ideas</w:t>
      </w:r>
      <w:r w:rsidR="007C1D76" w:rsidRPr="007B3BB8">
        <w:t xml:space="preserve"> and </w:t>
      </w:r>
      <w:r w:rsidR="00A81D98" w:rsidRPr="007B3BB8">
        <w:t xml:space="preserve">technologies, and </w:t>
      </w:r>
      <w:r w:rsidR="007C1D76" w:rsidRPr="007B3BB8">
        <w:t xml:space="preserve">the social </w:t>
      </w:r>
      <w:r w:rsidR="00C45F02" w:rsidRPr="007B3BB8">
        <w:t xml:space="preserve">arrangements or </w:t>
      </w:r>
      <w:r w:rsidR="007C1D76" w:rsidRPr="007B3BB8">
        <w:t xml:space="preserve">rearrangements they </w:t>
      </w:r>
      <w:r w:rsidR="00C45F02" w:rsidRPr="007B3BB8">
        <w:t xml:space="preserve">help </w:t>
      </w:r>
      <w:r w:rsidR="00B80703" w:rsidRPr="007B3BB8">
        <w:t>sustain</w:t>
      </w:r>
      <w:r w:rsidR="007C1D76" w:rsidRPr="007B3BB8">
        <w:t xml:space="preserve">.  </w:t>
      </w:r>
      <w:r w:rsidR="00D03959" w:rsidRPr="007B3BB8">
        <w:t xml:space="preserve">This is </w:t>
      </w:r>
      <w:r w:rsidR="00C45F02" w:rsidRPr="007B3BB8">
        <w:t xml:space="preserve">a </w:t>
      </w:r>
      <w:r w:rsidR="007127D4" w:rsidRPr="007B3BB8">
        <w:t>fundamentally</w:t>
      </w:r>
      <w:r w:rsidR="00C45F02" w:rsidRPr="007B3BB8">
        <w:t xml:space="preserve"> humanistic inquiry</w:t>
      </w:r>
      <w:r w:rsidR="00D03959" w:rsidRPr="007B3BB8">
        <w:t xml:space="preserve"> which </w:t>
      </w:r>
      <w:r w:rsidR="00C96E19" w:rsidRPr="007B3BB8">
        <w:t>recognizes</w:t>
      </w:r>
      <w:r w:rsidR="00D03959" w:rsidRPr="007B3BB8">
        <w:t xml:space="preserve"> the capacity of individuals and groups to see and think things </w:t>
      </w:r>
      <w:r w:rsidR="007F0AA4" w:rsidRPr="007B3BB8">
        <w:t>differently</w:t>
      </w:r>
      <w:r w:rsidR="00895A4C">
        <w:t xml:space="preserve"> from what w</w:t>
      </w:r>
      <w:r w:rsidR="00D03959" w:rsidRPr="007B3BB8">
        <w:t xml:space="preserve">as previously seen or thought.  </w:t>
      </w:r>
      <w:r w:rsidR="007C1D76" w:rsidRPr="007B3BB8">
        <w:t xml:space="preserve">Second, by </w:t>
      </w:r>
      <w:r w:rsidR="00BF53A1" w:rsidRPr="007B3BB8">
        <w:t>inquiring</w:t>
      </w:r>
      <w:r w:rsidR="0008198B" w:rsidRPr="007B3BB8">
        <w:t xml:space="preserve"> into</w:t>
      </w:r>
      <w:r w:rsidR="007127D4" w:rsidRPr="007B3BB8">
        <w:t xml:space="preserve"> imagination</w:t>
      </w:r>
      <w:r w:rsidR="007C1D76" w:rsidRPr="007B3BB8">
        <w:t xml:space="preserve"> </w:t>
      </w:r>
      <w:r w:rsidR="007127D4" w:rsidRPr="007B3BB8">
        <w:t>as</w:t>
      </w:r>
      <w:r w:rsidR="007C1D76" w:rsidRPr="007B3BB8">
        <w:t xml:space="preserve"> </w:t>
      </w:r>
      <w:r w:rsidR="007127D4" w:rsidRPr="007B3BB8">
        <w:t xml:space="preserve">a </w:t>
      </w:r>
      <w:r w:rsidR="007C1D76" w:rsidRPr="007B3BB8">
        <w:t>social practice</w:t>
      </w:r>
      <w:r w:rsidR="0029334F" w:rsidRPr="007B3BB8">
        <w:t>,</w:t>
      </w:r>
      <w:r w:rsidR="007C1D76" w:rsidRPr="007B3BB8">
        <w:t xml:space="preserve"> we </w:t>
      </w:r>
      <w:r w:rsidR="0008198B" w:rsidRPr="007B3BB8">
        <w:t>follow</w:t>
      </w:r>
      <w:r w:rsidR="007C1D76" w:rsidRPr="007B3BB8">
        <w:t xml:space="preserve"> the </w:t>
      </w:r>
      <w:r w:rsidR="007165AE" w:rsidRPr="007B3BB8">
        <w:rPr>
          <w:i/>
        </w:rPr>
        <w:t>embedding</w:t>
      </w:r>
      <w:r w:rsidR="001C4C60" w:rsidRPr="007B3BB8">
        <w:t xml:space="preserve"> of ideas in</w:t>
      </w:r>
      <w:r w:rsidR="00C96E19" w:rsidRPr="007B3BB8">
        <w:t>to</w:t>
      </w:r>
      <w:r w:rsidR="001C4C60" w:rsidRPr="007B3BB8">
        <w:t xml:space="preserve"> </w:t>
      </w:r>
      <w:r w:rsidR="00665AE6" w:rsidRPr="007B3BB8">
        <w:t>cultures</w:t>
      </w:r>
      <w:r w:rsidR="007127D4" w:rsidRPr="007B3BB8">
        <w:t>,</w:t>
      </w:r>
      <w:r w:rsidR="00665AE6" w:rsidRPr="007B3BB8">
        <w:t xml:space="preserve"> </w:t>
      </w:r>
      <w:r w:rsidR="006F1D42" w:rsidRPr="007B3BB8">
        <w:t>institutions</w:t>
      </w:r>
      <w:r w:rsidR="006F1D42">
        <w:t>,</w:t>
      </w:r>
      <w:r w:rsidR="006F1D42" w:rsidRPr="007B3BB8">
        <w:t xml:space="preserve"> </w:t>
      </w:r>
      <w:r w:rsidR="00D94C55">
        <w:t xml:space="preserve">and materialities, </w:t>
      </w:r>
      <w:r w:rsidR="0008198B" w:rsidRPr="007B3BB8">
        <w:t>where</w:t>
      </w:r>
      <w:r w:rsidR="007127D4" w:rsidRPr="007B3BB8">
        <w:t>by</w:t>
      </w:r>
      <w:r w:rsidR="0008198B" w:rsidRPr="007B3BB8">
        <w:t xml:space="preserve"> the merely imagined is converted into the </w:t>
      </w:r>
      <w:r w:rsidR="001C4C60" w:rsidRPr="007B3BB8">
        <w:t>solidity</w:t>
      </w:r>
      <w:r w:rsidR="0008198B" w:rsidRPr="007B3BB8">
        <w:t xml:space="preserve"> of </w:t>
      </w:r>
      <w:r w:rsidR="00C96E19" w:rsidRPr="007B3BB8">
        <w:t>identities</w:t>
      </w:r>
      <w:r w:rsidR="00302139" w:rsidRPr="007B3BB8">
        <w:t xml:space="preserve"> and the durability o</w:t>
      </w:r>
      <w:r w:rsidR="0029334F" w:rsidRPr="007B3BB8">
        <w:t xml:space="preserve">f </w:t>
      </w:r>
      <w:r w:rsidR="007A0753" w:rsidRPr="007B3BB8">
        <w:t>routines</w:t>
      </w:r>
      <w:r w:rsidR="00525F16" w:rsidRPr="00525F16">
        <w:t xml:space="preserve"> </w:t>
      </w:r>
      <w:r w:rsidR="00525F16" w:rsidRPr="007B3BB8">
        <w:t>and things</w:t>
      </w:r>
      <w:r w:rsidR="0008198B" w:rsidRPr="007B3BB8">
        <w:t xml:space="preserve">.  </w:t>
      </w:r>
      <w:r w:rsidR="00992F61" w:rsidRPr="007B3BB8">
        <w:t>T</w:t>
      </w:r>
      <w:r w:rsidR="00302139" w:rsidRPr="007B3BB8">
        <w:t xml:space="preserve">hird, </w:t>
      </w:r>
      <w:r w:rsidR="00D94C55">
        <w:t>several</w:t>
      </w:r>
      <w:r w:rsidR="00C96E19" w:rsidRPr="007B3BB8">
        <w:t xml:space="preserve"> of the cases illustrate moments of </w:t>
      </w:r>
      <w:r w:rsidR="00C96E19" w:rsidRPr="007B3BB8">
        <w:rPr>
          <w:i/>
        </w:rPr>
        <w:t>resistance</w:t>
      </w:r>
      <w:r w:rsidR="00C96E19" w:rsidRPr="007B3BB8">
        <w:t xml:space="preserve">, when new conceptions of how to change the world bump up against the old, or when powerful competing imaginations struggle to establish themselves on the same social terrain.  These periods of emergence and conflict shed light not only on the </w:t>
      </w:r>
      <w:r w:rsidR="00D94C55">
        <w:t>components</w:t>
      </w:r>
      <w:r w:rsidR="00C96E19" w:rsidRPr="007B3BB8">
        <w:t xml:space="preserve"> of successful imaginaries but also on the social apparatus that </w:t>
      </w:r>
      <w:r w:rsidR="00B80703" w:rsidRPr="007B3BB8">
        <w:t>supports</w:t>
      </w:r>
      <w:r w:rsidR="00C96E19" w:rsidRPr="007B3BB8">
        <w:t xml:space="preserve"> their continued potency.  Resistant imaginaries function as a political force that can either enable or </w:t>
      </w:r>
      <w:r w:rsidR="00C96E19" w:rsidRPr="007B3BB8">
        <w:lastRenderedPageBreak/>
        <w:t>disable thoroughgoing social transformation</w:t>
      </w:r>
      <w:r w:rsidR="007A0753">
        <w:t>s</w:t>
      </w:r>
      <w:r w:rsidR="00C96E19" w:rsidRPr="007B3BB8">
        <w:t xml:space="preserve">. </w:t>
      </w:r>
      <w:r w:rsidR="00BF0D99" w:rsidRPr="007B3BB8">
        <w:t xml:space="preserve"> Last, </w:t>
      </w:r>
      <w:r w:rsidR="00C96E19" w:rsidRPr="007B3BB8">
        <w:t xml:space="preserve">in tracing sociotechnical projects from conception to realization, we explore the phenomenon of </w:t>
      </w:r>
      <w:r w:rsidR="00C96E19" w:rsidRPr="007B3BB8">
        <w:rPr>
          <w:i/>
        </w:rPr>
        <w:t>extension</w:t>
      </w:r>
      <w:r w:rsidR="00C96E19" w:rsidRPr="007B3BB8">
        <w:t xml:space="preserve">, the complex of processes by which unconventional ideas gain traction, acquire strength, and cross scales, for example, by </w:t>
      </w:r>
      <w:r w:rsidR="007A0753">
        <w:t>persisting</w:t>
      </w:r>
      <w:r w:rsidR="00D94C55">
        <w:t xml:space="preserve"> through time or </w:t>
      </w:r>
      <w:r w:rsidR="007A0753">
        <w:t xml:space="preserve">by </w:t>
      </w:r>
      <w:r w:rsidR="00C96E19" w:rsidRPr="007B3BB8">
        <w:t>overcoming geopolitical boundaries.</w:t>
      </w:r>
    </w:p>
    <w:p w14:paraId="5F911220" w14:textId="77338CBE" w:rsidR="007C1D76" w:rsidRPr="007B3BB8" w:rsidRDefault="00E14857" w:rsidP="00D92C9F">
      <w:pPr>
        <w:spacing w:line="480" w:lineRule="auto"/>
        <w:ind w:firstLine="720"/>
      </w:pPr>
      <w:r w:rsidRPr="007B3BB8">
        <w:t xml:space="preserve">These </w:t>
      </w:r>
      <w:r w:rsidR="00864304" w:rsidRPr="007B3BB8">
        <w:t xml:space="preserve">four </w:t>
      </w:r>
      <w:r w:rsidR="005B60BF" w:rsidRPr="007B3BB8">
        <w:t>phases in the development of sociotechnical imaginaries</w:t>
      </w:r>
      <w:r w:rsidRPr="007B3BB8">
        <w:t xml:space="preserve"> bridge several </w:t>
      </w:r>
      <w:r w:rsidR="00826146" w:rsidRPr="007B3BB8">
        <w:t>perennially problematic</w:t>
      </w:r>
      <w:r w:rsidRPr="007B3BB8">
        <w:t xml:space="preserve"> </w:t>
      </w:r>
      <w:r w:rsidR="005B60BF" w:rsidRPr="007B3BB8">
        <w:t>boundaries</w:t>
      </w:r>
      <w:r w:rsidRPr="007B3BB8">
        <w:t xml:space="preserve"> that have </w:t>
      </w:r>
      <w:r w:rsidR="00804B4E" w:rsidRPr="007B3BB8">
        <w:t xml:space="preserve">long </w:t>
      </w:r>
      <w:r w:rsidRPr="007B3BB8">
        <w:t xml:space="preserve">troubled the social sciences: </w:t>
      </w:r>
      <w:r w:rsidR="005B60BF" w:rsidRPr="007B3BB8">
        <w:t>descriptive</w:t>
      </w:r>
      <w:r w:rsidRPr="007B3BB8">
        <w:t xml:space="preserve"> and </w:t>
      </w:r>
      <w:r w:rsidR="005B60BF" w:rsidRPr="007B3BB8">
        <w:t>normative</w:t>
      </w:r>
      <w:r w:rsidRPr="007B3BB8">
        <w:t xml:space="preserve">, structure and agency, </w:t>
      </w:r>
      <w:r w:rsidR="00453DA1" w:rsidRPr="007B3BB8">
        <w:t xml:space="preserve">material </w:t>
      </w:r>
      <w:r w:rsidRPr="007B3BB8">
        <w:t>and</w:t>
      </w:r>
      <w:r w:rsidR="00453DA1" w:rsidRPr="007B3BB8">
        <w:t xml:space="preserve"> mental</w:t>
      </w:r>
      <w:r w:rsidRPr="007B3BB8">
        <w:t xml:space="preserve">, local and translocal.  </w:t>
      </w:r>
      <w:r w:rsidR="00C92F88" w:rsidRPr="007B3BB8">
        <w:t xml:space="preserve">Imaginaries </w:t>
      </w:r>
      <w:r w:rsidR="00A40EF8" w:rsidRPr="007B3BB8">
        <w:t xml:space="preserve">reveal a dynamic interplay between binaries that are too often kept analytically distinct; they </w:t>
      </w:r>
      <w:r w:rsidR="00C92F88" w:rsidRPr="007B3BB8">
        <w:t>build on the world as it is</w:t>
      </w:r>
      <w:r w:rsidR="00B80703" w:rsidRPr="007B3BB8">
        <w:t>,</w:t>
      </w:r>
      <w:r w:rsidR="00C92F88" w:rsidRPr="007B3BB8">
        <w:t xml:space="preserve"> but </w:t>
      </w:r>
      <w:r w:rsidR="00804B4E" w:rsidRPr="007B3BB8">
        <w:t xml:space="preserve">they </w:t>
      </w:r>
      <w:r w:rsidR="00665AE6" w:rsidRPr="007B3BB8">
        <w:t xml:space="preserve">also </w:t>
      </w:r>
      <w:r w:rsidR="00C92F88" w:rsidRPr="007B3BB8">
        <w:t xml:space="preserve">project futures </w:t>
      </w:r>
      <w:r w:rsidR="00562B3A" w:rsidRPr="007B3BB8">
        <w:t>as they</w:t>
      </w:r>
      <w:r w:rsidR="00C92F88" w:rsidRPr="007B3BB8">
        <w:t xml:space="preserve"> ought to be</w:t>
      </w:r>
      <w:r w:rsidR="00A40EF8" w:rsidRPr="007B3BB8">
        <w:t>.  A</w:t>
      </w:r>
      <w:r w:rsidR="00C92F88" w:rsidRPr="007B3BB8">
        <w:t>rticulat</w:t>
      </w:r>
      <w:r w:rsidR="00804B4E" w:rsidRPr="007B3BB8">
        <w:t>ed and championed by agents of change</w:t>
      </w:r>
      <w:r w:rsidR="00C92F88" w:rsidRPr="007B3BB8">
        <w:t xml:space="preserve">, </w:t>
      </w:r>
      <w:r w:rsidR="00562B3A" w:rsidRPr="007B3BB8">
        <w:t xml:space="preserve">working within </w:t>
      </w:r>
      <w:r w:rsidR="0028747B" w:rsidRPr="007B3BB8">
        <w:t xml:space="preserve">and beyond </w:t>
      </w:r>
      <w:r w:rsidR="00562B3A" w:rsidRPr="007B3BB8">
        <w:t xml:space="preserve">localized sites of action, </w:t>
      </w:r>
      <w:r w:rsidR="00C92F88" w:rsidRPr="007B3BB8">
        <w:t xml:space="preserve">imaginaries get </w:t>
      </w:r>
      <w:r w:rsidR="00A7470B" w:rsidRPr="007B3BB8">
        <w:t>built</w:t>
      </w:r>
      <w:r w:rsidR="00C92F88" w:rsidRPr="007B3BB8">
        <w:t xml:space="preserve"> into </w:t>
      </w:r>
      <w:r w:rsidR="001A6ED4">
        <w:t xml:space="preserve">the </w:t>
      </w:r>
      <w:r w:rsidR="00B80703" w:rsidRPr="007B3BB8">
        <w:t>hard</w:t>
      </w:r>
      <w:r w:rsidR="00C92F88" w:rsidRPr="007B3BB8">
        <w:t xml:space="preserve"> </w:t>
      </w:r>
      <w:r w:rsidR="00A7470B" w:rsidRPr="007B3BB8">
        <w:t>edifices</w:t>
      </w:r>
      <w:r w:rsidR="00C92F88" w:rsidRPr="007B3BB8">
        <w:t xml:space="preserve"> of </w:t>
      </w:r>
      <w:r w:rsidR="0028747B" w:rsidRPr="007B3BB8">
        <w:t>matter</w:t>
      </w:r>
      <w:r w:rsidR="00C92F88" w:rsidRPr="007B3BB8">
        <w:t xml:space="preserve"> </w:t>
      </w:r>
      <w:r w:rsidR="00804B4E" w:rsidRPr="007B3BB8">
        <w:t>and</w:t>
      </w:r>
      <w:r w:rsidR="00C92F88" w:rsidRPr="007B3BB8">
        <w:t xml:space="preserve"> praxis.  </w:t>
      </w:r>
      <w:r w:rsidR="00B05BB6" w:rsidRPr="007B3BB8">
        <w:t>Once s</w:t>
      </w:r>
      <w:r w:rsidR="00665AE6" w:rsidRPr="007B3BB8">
        <w:t>ituated</w:t>
      </w:r>
      <w:r w:rsidR="002D190F" w:rsidRPr="007B3BB8">
        <w:t xml:space="preserve"> in the specifics of time</w:t>
      </w:r>
      <w:r w:rsidR="0028747B" w:rsidRPr="007B3BB8">
        <w:t>,</w:t>
      </w:r>
      <w:r w:rsidR="002D190F" w:rsidRPr="007B3BB8">
        <w:t xml:space="preserve"> place, </w:t>
      </w:r>
      <w:r w:rsidR="0028747B" w:rsidRPr="007B3BB8">
        <w:t xml:space="preserve">and social worlds, </w:t>
      </w:r>
      <w:r w:rsidR="002D190F" w:rsidRPr="007B3BB8">
        <w:t xml:space="preserve">they </w:t>
      </w:r>
      <w:r w:rsidR="00B05BB6" w:rsidRPr="007B3BB8">
        <w:t>still</w:t>
      </w:r>
      <w:r w:rsidR="002D190F" w:rsidRPr="007B3BB8">
        <w:t xml:space="preserve"> have power to move minds and actions </w:t>
      </w:r>
      <w:r w:rsidR="00826146" w:rsidRPr="007B3BB8">
        <w:t>at a distance</w:t>
      </w:r>
      <w:r w:rsidR="001A6ED4">
        <w:t>; and, as constructs in part of human thought, they remain continually open-ended and subject to revision</w:t>
      </w:r>
      <w:r w:rsidR="00826146" w:rsidRPr="007B3BB8">
        <w:t xml:space="preserve">.  </w:t>
      </w:r>
      <w:r w:rsidRPr="007B3BB8">
        <w:t xml:space="preserve">In </w:t>
      </w:r>
      <w:r w:rsidR="0028747B" w:rsidRPr="007B3BB8">
        <w:t>analyzing</w:t>
      </w:r>
      <w:r w:rsidRPr="007B3BB8">
        <w:t xml:space="preserve"> how sociotechnical imaginaries </w:t>
      </w:r>
      <w:r w:rsidR="00CE0AC7">
        <w:t>have played</w:t>
      </w:r>
      <w:r w:rsidRPr="007B3BB8">
        <w:t xml:space="preserve"> out in </w:t>
      </w:r>
      <w:r w:rsidR="0028747B" w:rsidRPr="007B3BB8">
        <w:t>varied</w:t>
      </w:r>
      <w:r w:rsidRPr="007B3BB8">
        <w:t xml:space="preserve"> </w:t>
      </w:r>
      <w:r w:rsidR="00562B3A" w:rsidRPr="007B3BB8">
        <w:t xml:space="preserve">concrete </w:t>
      </w:r>
      <w:r w:rsidRPr="007B3BB8">
        <w:t xml:space="preserve">settings, we </w:t>
      </w:r>
      <w:r w:rsidR="007439E5" w:rsidRPr="007B3BB8">
        <w:t xml:space="preserve">thus </w:t>
      </w:r>
      <w:r w:rsidR="009E2970" w:rsidRPr="007B3BB8">
        <w:t>position</w:t>
      </w:r>
      <w:r w:rsidR="00BF0D99" w:rsidRPr="007B3BB8">
        <w:t xml:space="preserve"> the </w:t>
      </w:r>
      <w:r w:rsidR="006612FB">
        <w:t>concept</w:t>
      </w:r>
      <w:r w:rsidR="00BF0D99" w:rsidRPr="007B3BB8">
        <w:t xml:space="preserve"> </w:t>
      </w:r>
      <w:r w:rsidR="00CE0AC7">
        <w:t xml:space="preserve">to do more </w:t>
      </w:r>
      <w:r w:rsidR="007A0753">
        <w:t xml:space="preserve">general </w:t>
      </w:r>
      <w:r w:rsidR="00CE0AC7">
        <w:t>work</w:t>
      </w:r>
      <w:r w:rsidR="009E2970" w:rsidRPr="007B3BB8">
        <w:t xml:space="preserve"> within</w:t>
      </w:r>
      <w:r w:rsidR="00BF0D99" w:rsidRPr="007B3BB8">
        <w:t xml:space="preserve"> the </w:t>
      </w:r>
      <w:r w:rsidR="005075A5" w:rsidRPr="007B3BB8">
        <w:t xml:space="preserve">analytic and </w:t>
      </w:r>
      <w:r w:rsidR="00BF0D99" w:rsidRPr="007B3BB8">
        <w:t>explanatory repertoire</w:t>
      </w:r>
      <w:r w:rsidR="00363A88">
        <w:t>s</w:t>
      </w:r>
      <w:r w:rsidR="00BF0D99" w:rsidRPr="007B3BB8">
        <w:t xml:space="preserve"> of the social sciences.</w:t>
      </w:r>
    </w:p>
    <w:p w14:paraId="5B713DC6" w14:textId="20A307A0" w:rsidR="00C96E19" w:rsidRPr="007B3BB8" w:rsidRDefault="00C96E19" w:rsidP="00D92C9F">
      <w:pPr>
        <w:spacing w:line="480" w:lineRule="auto"/>
        <w:ind w:firstLine="720"/>
      </w:pPr>
      <w:r w:rsidRPr="007B3BB8">
        <w:t xml:space="preserve">This chapter </w:t>
      </w:r>
      <w:r w:rsidR="00A91A0B" w:rsidRPr="007B3BB8">
        <w:t>follows</w:t>
      </w:r>
      <w:r w:rsidRPr="007B3BB8">
        <w:t xml:space="preserve"> sociotechnical imaginaries from origin to extension, noting how the four phases of turning i</w:t>
      </w:r>
      <w:r w:rsidR="00B05BB6" w:rsidRPr="007B3BB8">
        <w:t>magination into social practice</w:t>
      </w:r>
      <w:r w:rsidRPr="007B3BB8">
        <w:t xml:space="preserve"> </w:t>
      </w:r>
      <w:r w:rsidR="00EC5C69">
        <w:t xml:space="preserve">are </w:t>
      </w:r>
      <w:r w:rsidR="00534304">
        <w:t>exemplified</w:t>
      </w:r>
      <w:r w:rsidRPr="007B3BB8">
        <w:t xml:space="preserve"> in each </w:t>
      </w:r>
      <w:r w:rsidR="00D851B7">
        <w:t xml:space="preserve">preceding </w:t>
      </w:r>
      <w:r w:rsidRPr="007B3BB8">
        <w:t xml:space="preserve">chapter.  </w:t>
      </w:r>
      <w:r w:rsidR="007A0753">
        <w:t xml:space="preserve">In revisiting </w:t>
      </w:r>
      <w:r w:rsidR="00D851B7">
        <w:t xml:space="preserve">these </w:t>
      </w:r>
      <w:r w:rsidR="007A0753">
        <w:t>chapters. I roughly track</w:t>
      </w:r>
      <w:r w:rsidR="00D851B7">
        <w:t xml:space="preserve"> </w:t>
      </w:r>
      <w:r w:rsidRPr="007B3BB8">
        <w:t xml:space="preserve">the </w:t>
      </w:r>
      <w:r w:rsidR="007A0753">
        <w:t xml:space="preserve">order in which they appear in the </w:t>
      </w:r>
      <w:r w:rsidRPr="007B3BB8">
        <w:t xml:space="preserve">table of contents, and yet this is an imperfect organizational strategy, since to </w:t>
      </w:r>
      <w:r w:rsidR="00EC5C69">
        <w:t xml:space="preserve">a </w:t>
      </w:r>
      <w:r w:rsidRPr="007B3BB8">
        <w:t>greater or lesse</w:t>
      </w:r>
      <w:r w:rsidR="00B80703" w:rsidRPr="007B3BB8">
        <w:t>r</w:t>
      </w:r>
      <w:r w:rsidR="00AD10A9">
        <w:t xml:space="preserve"> extent</w:t>
      </w:r>
      <w:r w:rsidRPr="007B3BB8">
        <w:t xml:space="preserve"> each chapter illustrates all four phases of the dynamic described above</w:t>
      </w:r>
      <w:r w:rsidR="00D851B7">
        <w:t xml:space="preserve">—a point we </w:t>
      </w:r>
      <w:r w:rsidR="007A0753">
        <w:t xml:space="preserve">try to </w:t>
      </w:r>
      <w:r w:rsidR="00D851B7">
        <w:t>make clear through cross-referencing</w:t>
      </w:r>
      <w:r w:rsidRPr="007B3BB8">
        <w:t xml:space="preserve">.  Nonetheless, </w:t>
      </w:r>
      <w:r w:rsidRPr="007B3BB8">
        <w:lastRenderedPageBreak/>
        <w:t xml:space="preserve">origin stories figure more prominently in some </w:t>
      </w:r>
      <w:r w:rsidR="007A0753">
        <w:t xml:space="preserve">early </w:t>
      </w:r>
      <w:r w:rsidRPr="007B3BB8">
        <w:t xml:space="preserve">chapters, especially those focused on individuals, while material or institutional embeddings and </w:t>
      </w:r>
      <w:r w:rsidR="00B05BB6" w:rsidRPr="007B3BB8">
        <w:t xml:space="preserve">resistance </w:t>
      </w:r>
      <w:r w:rsidRPr="007B3BB8">
        <w:t xml:space="preserve">feature more in </w:t>
      </w:r>
      <w:r w:rsidR="00843419">
        <w:t>others</w:t>
      </w:r>
      <w:r w:rsidR="00B05BB6" w:rsidRPr="007B3BB8">
        <w:t xml:space="preserve">, as does extension in still </w:t>
      </w:r>
      <w:r w:rsidR="00843419">
        <w:t>a third</w:t>
      </w:r>
      <w:r w:rsidR="007A0753">
        <w:t xml:space="preserve"> group</w:t>
      </w:r>
      <w:r w:rsidR="00B05BB6" w:rsidRPr="007B3BB8">
        <w:t xml:space="preserve">.  To repeat a metaphor </w:t>
      </w:r>
      <w:r w:rsidR="00EC5C69">
        <w:t>borrowed from</w:t>
      </w:r>
      <w:r w:rsidR="00B05BB6" w:rsidRPr="007B3BB8">
        <w:t xml:space="preserve"> the introduction, the chapters form a braided whole in the study of sociotechnical imaginaries.  Each tells </w:t>
      </w:r>
      <w:r w:rsidR="00D905C2">
        <w:t>its own distinct</w:t>
      </w:r>
      <w:r w:rsidR="00B05BB6" w:rsidRPr="007B3BB8">
        <w:t xml:space="preserve"> saga</w:t>
      </w:r>
      <w:r w:rsidRPr="007B3BB8">
        <w:t xml:space="preserve"> </w:t>
      </w:r>
      <w:r w:rsidR="00B05BB6" w:rsidRPr="007B3BB8">
        <w:t xml:space="preserve">of an imagined and </w:t>
      </w:r>
      <w:r w:rsidR="00B80703" w:rsidRPr="007B3BB8">
        <w:t>invented</w:t>
      </w:r>
      <w:r w:rsidR="00B05BB6" w:rsidRPr="007B3BB8">
        <w:t xml:space="preserve"> world, originating in dreams </w:t>
      </w:r>
      <w:r w:rsidR="00EC5C69">
        <w:t xml:space="preserve">and ambitions </w:t>
      </w:r>
      <w:r w:rsidR="00B05BB6" w:rsidRPr="007B3BB8">
        <w:t xml:space="preserve">but </w:t>
      </w:r>
      <w:r w:rsidR="00B80703" w:rsidRPr="007B3BB8">
        <w:t>substantiated</w:t>
      </w:r>
      <w:r w:rsidR="00B05BB6" w:rsidRPr="007B3BB8">
        <w:t xml:space="preserve"> into people, </w:t>
      </w:r>
      <w:r w:rsidR="00293A6E">
        <w:t>objects</w:t>
      </w:r>
      <w:r w:rsidR="00D905C2">
        <w:t>, and practices.  Y</w:t>
      </w:r>
      <w:r w:rsidR="00B05BB6" w:rsidRPr="007B3BB8">
        <w:t xml:space="preserve">et, each </w:t>
      </w:r>
      <w:r w:rsidR="00293A6E">
        <w:t xml:space="preserve">chapter </w:t>
      </w:r>
      <w:r w:rsidR="00B05BB6" w:rsidRPr="007B3BB8">
        <w:t xml:space="preserve">also relates to one or more others with respect to sites and modes of action, the mobilization of specific aspects of imagination, </w:t>
      </w:r>
      <w:r w:rsidR="007A7B76">
        <w:t>and</w:t>
      </w:r>
      <w:r w:rsidR="00B05BB6" w:rsidRPr="007B3BB8">
        <w:t xml:space="preserve"> </w:t>
      </w:r>
      <w:r w:rsidR="00B80703" w:rsidRPr="007B3BB8">
        <w:t xml:space="preserve">of material </w:t>
      </w:r>
      <w:r w:rsidR="00B05BB6" w:rsidRPr="007B3BB8">
        <w:t xml:space="preserve">technologies that provide </w:t>
      </w:r>
      <w:r w:rsidR="00DC0A60">
        <w:t>instruments</w:t>
      </w:r>
      <w:r w:rsidR="00B05BB6" w:rsidRPr="007B3BB8">
        <w:t xml:space="preserve"> for drawing together a collective social or political imagination.</w:t>
      </w:r>
    </w:p>
    <w:p w14:paraId="225BC134" w14:textId="77777777" w:rsidR="00115784" w:rsidRPr="007B3BB8" w:rsidRDefault="007C1D76" w:rsidP="007C1D76">
      <w:pPr>
        <w:spacing w:before="120" w:line="480" w:lineRule="auto"/>
        <w:rPr>
          <w:b/>
        </w:rPr>
      </w:pPr>
      <w:r w:rsidRPr="007B3BB8">
        <w:rPr>
          <w:b/>
        </w:rPr>
        <w:t>Origins</w:t>
      </w:r>
      <w:r w:rsidR="00115784" w:rsidRPr="007B3BB8">
        <w:rPr>
          <w:b/>
        </w:rPr>
        <w:t xml:space="preserve"> </w:t>
      </w:r>
    </w:p>
    <w:p w14:paraId="350FAD6D" w14:textId="13A3880E" w:rsidR="009F7845" w:rsidRPr="007B3BB8" w:rsidRDefault="000A6064" w:rsidP="00640B97">
      <w:pPr>
        <w:spacing w:line="480" w:lineRule="auto"/>
        <w:ind w:firstLine="720"/>
      </w:pPr>
      <w:r w:rsidRPr="007B3BB8">
        <w:t xml:space="preserve">It takes </w:t>
      </w:r>
      <w:r w:rsidR="00DA464C" w:rsidRPr="007B3BB8">
        <w:t xml:space="preserve">daring </w:t>
      </w:r>
      <w:r w:rsidRPr="007B3BB8">
        <w:t xml:space="preserve">individuals to </w:t>
      </w:r>
      <w:r w:rsidR="00D85BF6" w:rsidRPr="007B3BB8">
        <w:t>dream up</w:t>
      </w:r>
      <w:r w:rsidR="00562B3A" w:rsidRPr="007B3BB8">
        <w:t xml:space="preserve"> new worlds</w:t>
      </w:r>
      <w:r w:rsidRPr="007B3BB8">
        <w:t xml:space="preserve"> </w:t>
      </w:r>
      <w:r w:rsidR="00B05BB6" w:rsidRPr="007B3BB8">
        <w:t>and</w:t>
      </w:r>
      <w:r w:rsidR="00826146" w:rsidRPr="007B3BB8">
        <w:t xml:space="preserve"> give </w:t>
      </w:r>
      <w:r w:rsidR="00DA464C" w:rsidRPr="007B3BB8">
        <w:t xml:space="preserve">personal </w:t>
      </w:r>
      <w:r w:rsidR="00826146" w:rsidRPr="007B3BB8">
        <w:t xml:space="preserve">embodiment to loosely circulating </w:t>
      </w:r>
      <w:r w:rsidR="005075A5" w:rsidRPr="007B3BB8">
        <w:t xml:space="preserve">cultural </w:t>
      </w:r>
      <w:r w:rsidR="00826146" w:rsidRPr="007B3BB8">
        <w:t xml:space="preserve">aspirations, </w:t>
      </w:r>
      <w:r w:rsidRPr="007B3BB8">
        <w:t>and</w:t>
      </w:r>
      <w:r w:rsidR="00D85BF6" w:rsidRPr="007B3BB8">
        <w:t xml:space="preserve"> </w:t>
      </w:r>
      <w:r w:rsidRPr="007B3BB8">
        <w:t xml:space="preserve">individuals figure </w:t>
      </w:r>
      <w:r w:rsidR="00343A87" w:rsidRPr="007B3BB8">
        <w:t>p</w:t>
      </w:r>
      <w:r w:rsidRPr="007B3BB8">
        <w:t xml:space="preserve">rominently in </w:t>
      </w:r>
      <w:r w:rsidR="00B05BB6" w:rsidRPr="007B3BB8">
        <w:t xml:space="preserve">many of </w:t>
      </w:r>
      <w:r w:rsidRPr="007B3BB8">
        <w:t xml:space="preserve">the stories told in the </w:t>
      </w:r>
      <w:r w:rsidR="00343A87" w:rsidRPr="007B3BB8">
        <w:t>p</w:t>
      </w:r>
      <w:r w:rsidRPr="007B3BB8">
        <w:t xml:space="preserve">receding chapters.  Thus, </w:t>
      </w:r>
      <w:r w:rsidR="007650CD" w:rsidRPr="007B3BB8">
        <w:t>in William Storey’s account</w:t>
      </w:r>
      <w:r w:rsidR="00804B4E" w:rsidRPr="007B3BB8">
        <w:t>,</w:t>
      </w:r>
      <w:r w:rsidR="007650CD" w:rsidRPr="007B3BB8">
        <w:t xml:space="preserve"> </w:t>
      </w:r>
      <w:r w:rsidR="00804B4E" w:rsidRPr="007B3BB8">
        <w:t xml:space="preserve">Cecil Rhodes </w:t>
      </w:r>
      <w:r w:rsidR="00315E5D" w:rsidRPr="007B3BB8">
        <w:t>arrives</w:t>
      </w:r>
      <w:r w:rsidR="00E14857" w:rsidRPr="007B3BB8">
        <w:t xml:space="preserve"> in</w:t>
      </w:r>
      <w:r w:rsidR="007650CD" w:rsidRPr="007B3BB8">
        <w:t xml:space="preserve"> South Africa </w:t>
      </w:r>
      <w:r w:rsidR="00E14857" w:rsidRPr="007B3BB8">
        <w:t xml:space="preserve">in 1870, </w:t>
      </w:r>
      <w:r w:rsidR="00F5631A" w:rsidRPr="007B3BB8">
        <w:t>a seventeen-year-old</w:t>
      </w:r>
      <w:r w:rsidR="007650CD" w:rsidRPr="007B3BB8">
        <w:t xml:space="preserve"> </w:t>
      </w:r>
      <w:r w:rsidR="00F5631A" w:rsidRPr="007B3BB8">
        <w:t xml:space="preserve">vicar’s son </w:t>
      </w:r>
      <w:r w:rsidR="007650CD" w:rsidRPr="007B3BB8">
        <w:t xml:space="preserve">from </w:t>
      </w:r>
      <w:r w:rsidR="00150D1C" w:rsidRPr="007B3BB8">
        <w:t>Hertfordshire,</w:t>
      </w:r>
      <w:r w:rsidR="00F5631A" w:rsidRPr="007B3BB8">
        <w:t xml:space="preserve"> to try his hand at farming</w:t>
      </w:r>
      <w:r w:rsidR="00396127" w:rsidRPr="007B3BB8">
        <w:t xml:space="preserve">.  </w:t>
      </w:r>
      <w:r w:rsidR="00DC0A60">
        <w:t xml:space="preserve">The </w:t>
      </w:r>
      <w:r w:rsidR="004A60D6" w:rsidRPr="007B3BB8">
        <w:t>land</w:t>
      </w:r>
      <w:r w:rsidR="00F5631A" w:rsidRPr="007B3BB8">
        <w:t xml:space="preserve"> </w:t>
      </w:r>
      <w:r w:rsidR="00AD6F9C" w:rsidRPr="007B3BB8">
        <w:t xml:space="preserve">overwhelms him, much as the </w:t>
      </w:r>
      <w:r w:rsidR="00396127" w:rsidRPr="007B3BB8">
        <w:t xml:space="preserve">Hudson </w:t>
      </w:r>
      <w:r w:rsidR="00E14857" w:rsidRPr="007B3BB8">
        <w:t>Valley</w:t>
      </w:r>
      <w:r w:rsidR="00396127" w:rsidRPr="007B3BB8">
        <w:t xml:space="preserve"> </w:t>
      </w:r>
      <w:r w:rsidR="00AD6F9C" w:rsidRPr="007B3BB8">
        <w:t xml:space="preserve">painters </w:t>
      </w:r>
      <w:r w:rsidR="00396127" w:rsidRPr="007B3BB8">
        <w:t xml:space="preserve">of </w:t>
      </w:r>
      <w:r w:rsidR="00E14857" w:rsidRPr="007B3BB8">
        <w:t>a slightly earlier</w:t>
      </w:r>
      <w:r w:rsidR="00396127" w:rsidRPr="007B3BB8">
        <w:t xml:space="preserve"> </w:t>
      </w:r>
      <w:r w:rsidR="0028747B" w:rsidRPr="007B3BB8">
        <w:t>day</w:t>
      </w:r>
      <w:r w:rsidR="00396127" w:rsidRPr="007B3BB8">
        <w:t xml:space="preserve"> </w:t>
      </w:r>
      <w:r w:rsidR="00AD6F9C" w:rsidRPr="007B3BB8">
        <w:t xml:space="preserve">were overcome by the </w:t>
      </w:r>
      <w:r w:rsidR="004A60D6" w:rsidRPr="007B3BB8">
        <w:t>sweeping vistas</w:t>
      </w:r>
      <w:r w:rsidR="00AD6F9C" w:rsidRPr="007B3BB8">
        <w:t xml:space="preserve"> of the</w:t>
      </w:r>
      <w:r w:rsidR="00396127" w:rsidRPr="007B3BB8">
        <w:t>ir</w:t>
      </w:r>
      <w:r w:rsidR="00AD6F9C" w:rsidRPr="007B3BB8">
        <w:t xml:space="preserve"> </w:t>
      </w:r>
      <w:r w:rsidR="004A60D6" w:rsidRPr="007B3BB8">
        <w:t xml:space="preserve">grand </w:t>
      </w:r>
      <w:r w:rsidR="00396127" w:rsidRPr="007B3BB8">
        <w:t>new world</w:t>
      </w:r>
      <w:r w:rsidR="00AD6F9C" w:rsidRPr="007B3BB8">
        <w:t>.</w:t>
      </w:r>
      <w:r w:rsidR="00396127" w:rsidRPr="007B3BB8">
        <w:t xml:space="preserve">  Later, </w:t>
      </w:r>
      <w:r w:rsidR="008C2250" w:rsidRPr="007B3BB8">
        <w:t xml:space="preserve">as capitalist and </w:t>
      </w:r>
      <w:r w:rsidR="007D3AF4" w:rsidRPr="007B3BB8">
        <w:t>industrialist</w:t>
      </w:r>
      <w:r w:rsidR="008C2250" w:rsidRPr="007B3BB8">
        <w:t xml:space="preserve">, </w:t>
      </w:r>
      <w:r w:rsidR="00150D1C" w:rsidRPr="007B3BB8">
        <w:t xml:space="preserve">dreamer and technocrat, </w:t>
      </w:r>
      <w:r w:rsidR="004A60D6" w:rsidRPr="007B3BB8">
        <w:t>Rhodes</w:t>
      </w:r>
      <w:r w:rsidR="00396127" w:rsidRPr="007B3BB8">
        <w:t xml:space="preserve"> learns to </w:t>
      </w:r>
      <w:r w:rsidR="00DC0A60">
        <w:t xml:space="preserve">master the land.  He </w:t>
      </w:r>
      <w:r w:rsidR="00396127" w:rsidRPr="007B3BB8">
        <w:t>exploit</w:t>
      </w:r>
      <w:r w:rsidR="00DC0A60">
        <w:t>s</w:t>
      </w:r>
      <w:r w:rsidR="00396127" w:rsidRPr="007B3BB8">
        <w:t xml:space="preserve"> South Africa’s natural resources</w:t>
      </w:r>
      <w:r w:rsidR="00980527" w:rsidRPr="007B3BB8">
        <w:t>, especially its mines,</w:t>
      </w:r>
      <w:r w:rsidR="00396127" w:rsidRPr="007B3BB8">
        <w:t xml:space="preserve"> </w:t>
      </w:r>
      <w:r w:rsidR="00066842" w:rsidRPr="007B3BB8">
        <w:t>as well as its</w:t>
      </w:r>
      <w:r w:rsidR="007D3AF4" w:rsidRPr="007B3BB8">
        <w:t xml:space="preserve"> </w:t>
      </w:r>
      <w:r w:rsidR="00343A87" w:rsidRPr="007B3BB8">
        <w:t xml:space="preserve">native-born </w:t>
      </w:r>
      <w:r w:rsidR="007D3AF4" w:rsidRPr="007B3BB8">
        <w:t xml:space="preserve">people. </w:t>
      </w:r>
      <w:r w:rsidR="008C2250" w:rsidRPr="007B3BB8">
        <w:t xml:space="preserve"> </w:t>
      </w:r>
      <w:r w:rsidR="007D3AF4" w:rsidRPr="007B3BB8">
        <w:t xml:space="preserve">But the </w:t>
      </w:r>
      <w:r w:rsidR="00980527" w:rsidRPr="007B3BB8">
        <w:t>farming</w:t>
      </w:r>
      <w:r w:rsidR="007D3AF4" w:rsidRPr="007B3BB8">
        <w:t xml:space="preserve"> instinct remains alive </w:t>
      </w:r>
      <w:r w:rsidR="00066842" w:rsidRPr="007B3BB8">
        <w:t xml:space="preserve">and well </w:t>
      </w:r>
      <w:r w:rsidR="007D3AF4" w:rsidRPr="007B3BB8">
        <w:t>in this transplanted Englishman</w:t>
      </w:r>
      <w:r w:rsidR="00980527" w:rsidRPr="007B3BB8">
        <w:t xml:space="preserve">, who </w:t>
      </w:r>
      <w:r w:rsidR="00D85BF6" w:rsidRPr="007B3BB8">
        <w:t xml:space="preserve">in time </w:t>
      </w:r>
      <w:r w:rsidR="00980527" w:rsidRPr="007B3BB8">
        <w:t xml:space="preserve">develops </w:t>
      </w:r>
      <w:r w:rsidR="00D50A58" w:rsidRPr="007B3BB8">
        <w:t xml:space="preserve">vineyards </w:t>
      </w:r>
      <w:r w:rsidR="00343A87" w:rsidRPr="007B3BB8">
        <w:t>as well as</w:t>
      </w:r>
      <w:r w:rsidR="00D50A58" w:rsidRPr="007B3BB8">
        <w:t xml:space="preserve"> </w:t>
      </w:r>
      <w:r w:rsidR="00D85BF6" w:rsidRPr="007B3BB8">
        <w:t xml:space="preserve">mines and </w:t>
      </w:r>
      <w:r w:rsidR="00D50A58" w:rsidRPr="007B3BB8">
        <w:t>railroads</w:t>
      </w:r>
      <w:r w:rsidR="00980527" w:rsidRPr="007B3BB8">
        <w:t>.</w:t>
      </w:r>
      <w:r w:rsidR="00650A05" w:rsidRPr="007B3BB8">
        <w:t xml:space="preserve"> </w:t>
      </w:r>
      <w:r w:rsidR="007D3AF4" w:rsidRPr="007B3BB8">
        <w:t xml:space="preserve"> H</w:t>
      </w:r>
      <w:r w:rsidR="008C2250" w:rsidRPr="007B3BB8">
        <w:t xml:space="preserve">is </w:t>
      </w:r>
      <w:r w:rsidR="00255C58" w:rsidRPr="007B3BB8">
        <w:t xml:space="preserve">infamous </w:t>
      </w:r>
      <w:r w:rsidR="004A60D6" w:rsidRPr="007B3BB8">
        <w:t>political imaginary</w:t>
      </w:r>
      <w:r w:rsidR="007D3AF4" w:rsidRPr="007B3BB8">
        <w:t xml:space="preserve"> of racial segregation</w:t>
      </w:r>
      <w:r w:rsidR="007A7B76">
        <w:t>, precursor to the scourge of apartheid,</w:t>
      </w:r>
      <w:r w:rsidR="002C6A47" w:rsidRPr="007B3BB8">
        <w:t xml:space="preserve"> </w:t>
      </w:r>
      <w:r w:rsidR="00066842" w:rsidRPr="007B3BB8">
        <w:t>comes to fruition</w:t>
      </w:r>
      <w:r w:rsidR="00343A87" w:rsidRPr="007B3BB8">
        <w:t xml:space="preserve"> in tandem with a </w:t>
      </w:r>
      <w:r w:rsidR="002C6A47" w:rsidRPr="007B3BB8">
        <w:t>less well documented</w:t>
      </w:r>
      <w:r w:rsidR="00255C58" w:rsidRPr="007B3BB8">
        <w:t xml:space="preserve"> </w:t>
      </w:r>
      <w:r w:rsidR="008C2250" w:rsidRPr="007B3BB8">
        <w:t xml:space="preserve">imaginary of </w:t>
      </w:r>
      <w:r w:rsidR="00066842" w:rsidRPr="007B3BB8">
        <w:t xml:space="preserve">segmented </w:t>
      </w:r>
      <w:r w:rsidR="004D184B" w:rsidRPr="007B3BB8">
        <w:t>sociotechnical development</w:t>
      </w:r>
      <w:r w:rsidR="00245EC0" w:rsidRPr="007B3BB8">
        <w:t>.  I</w:t>
      </w:r>
      <w:r w:rsidR="008C2250" w:rsidRPr="007B3BB8">
        <w:t xml:space="preserve">n </w:t>
      </w:r>
      <w:r w:rsidR="00413AE2" w:rsidRPr="007B3BB8">
        <w:t>Rhodes’</w:t>
      </w:r>
      <w:r w:rsidR="00245EC0" w:rsidRPr="007B3BB8">
        <w:t xml:space="preserve"> vision</w:t>
      </w:r>
      <w:r w:rsidR="004A60D6" w:rsidRPr="007B3BB8">
        <w:t>, Storey argues,</w:t>
      </w:r>
      <w:r w:rsidR="008C2250" w:rsidRPr="007B3BB8">
        <w:t xml:space="preserve"> </w:t>
      </w:r>
      <w:r w:rsidR="00D3107A" w:rsidRPr="007B3BB8">
        <w:t xml:space="preserve">overlapping </w:t>
      </w:r>
      <w:r w:rsidR="004D184B" w:rsidRPr="007B3BB8">
        <w:lastRenderedPageBreak/>
        <w:t xml:space="preserve">dichotomies of </w:t>
      </w:r>
      <w:r w:rsidR="008C2250" w:rsidRPr="007B3BB8">
        <w:t xml:space="preserve">Black and White, labor and leisure, city and country </w:t>
      </w:r>
      <w:r w:rsidR="00245EC0" w:rsidRPr="007B3BB8">
        <w:t>map onto</w:t>
      </w:r>
      <w:r w:rsidR="00D3107A" w:rsidRPr="007B3BB8">
        <w:t xml:space="preserve"> </w:t>
      </w:r>
      <w:r w:rsidR="00650A05" w:rsidRPr="007B3BB8">
        <w:t xml:space="preserve">a </w:t>
      </w:r>
      <w:r w:rsidR="004A60D6" w:rsidRPr="007B3BB8">
        <w:t>nation</w:t>
      </w:r>
      <w:r w:rsidR="00650A05" w:rsidRPr="007B3BB8">
        <w:t xml:space="preserve"> </w:t>
      </w:r>
      <w:r w:rsidR="00413AE2" w:rsidRPr="007B3BB8">
        <w:t>segregated</w:t>
      </w:r>
      <w:r w:rsidR="00650A05" w:rsidRPr="007B3BB8">
        <w:t xml:space="preserve"> </w:t>
      </w:r>
      <w:r w:rsidR="00245EC0" w:rsidRPr="007B3BB8">
        <w:t xml:space="preserve">not only by race but by </w:t>
      </w:r>
      <w:r w:rsidR="00413AE2" w:rsidRPr="007B3BB8">
        <w:t xml:space="preserve">the </w:t>
      </w:r>
      <w:r w:rsidR="00245EC0" w:rsidRPr="007B3BB8">
        <w:t xml:space="preserve">parallel economies of </w:t>
      </w:r>
      <w:r w:rsidR="00650A05" w:rsidRPr="007B3BB8">
        <w:t>its</w:t>
      </w:r>
      <w:r w:rsidR="008C2250" w:rsidRPr="007B3BB8">
        <w:t xml:space="preserve"> </w:t>
      </w:r>
      <w:r w:rsidR="00D50A58" w:rsidRPr="007B3BB8">
        <w:t>dirty</w:t>
      </w:r>
      <w:r w:rsidR="00255C58" w:rsidRPr="007B3BB8">
        <w:t>, extractive</w:t>
      </w:r>
      <w:r w:rsidR="00957826" w:rsidRPr="007B3BB8">
        <w:t>, mining</w:t>
      </w:r>
      <w:r w:rsidR="004A60D6" w:rsidRPr="007B3BB8">
        <w:t xml:space="preserve"> industri</w:t>
      </w:r>
      <w:r w:rsidR="00245EC0" w:rsidRPr="007B3BB8">
        <w:t>es</w:t>
      </w:r>
      <w:r w:rsidR="008C2250" w:rsidRPr="007B3BB8">
        <w:t xml:space="preserve"> </w:t>
      </w:r>
      <w:r w:rsidR="00245EC0" w:rsidRPr="007B3BB8">
        <w:t>and</w:t>
      </w:r>
      <w:r w:rsidR="00D3107A" w:rsidRPr="007B3BB8">
        <w:t xml:space="preserve"> its</w:t>
      </w:r>
      <w:r w:rsidR="008C2250" w:rsidRPr="007B3BB8">
        <w:t xml:space="preserve"> </w:t>
      </w:r>
      <w:r w:rsidR="005D1C99">
        <w:t>sometimes</w:t>
      </w:r>
      <w:r w:rsidR="007A7B76">
        <w:t xml:space="preserve"> </w:t>
      </w:r>
      <w:r w:rsidR="00D50A58" w:rsidRPr="007B3BB8">
        <w:t>idyllic</w:t>
      </w:r>
      <w:r w:rsidR="00D3107A" w:rsidRPr="007B3BB8">
        <w:t xml:space="preserve"> </w:t>
      </w:r>
      <w:r w:rsidR="00245EC0" w:rsidRPr="007B3BB8">
        <w:t xml:space="preserve">agricultural </w:t>
      </w:r>
      <w:r w:rsidR="00413AE2" w:rsidRPr="007B3BB8">
        <w:t>enclaves</w:t>
      </w:r>
      <w:r w:rsidR="008C2250" w:rsidRPr="007B3BB8">
        <w:t>.</w:t>
      </w:r>
    </w:p>
    <w:p w14:paraId="357CF7A7" w14:textId="27F6FA1A" w:rsidR="0028747B" w:rsidRPr="007B3BB8" w:rsidRDefault="0028747B" w:rsidP="0028747B">
      <w:pPr>
        <w:spacing w:line="480" w:lineRule="auto"/>
        <w:ind w:firstLine="720"/>
      </w:pPr>
      <w:r w:rsidRPr="007B3BB8">
        <w:t xml:space="preserve">A continent and a century away, Vannevar Bush, President Franklin D. Roosevelt’s unofficial wartime science adviser, confronted a future in which the problem was no longer how to </w:t>
      </w:r>
      <w:r w:rsidR="00DA00FF">
        <w:t>meld</w:t>
      </w:r>
      <w:r w:rsidRPr="007B3BB8">
        <w:t xml:space="preserve"> technology and politic</w:t>
      </w:r>
      <w:r w:rsidR="00DA00FF">
        <w:t>s in</w:t>
      </w:r>
      <w:r w:rsidR="00B80703" w:rsidRPr="007B3BB8">
        <w:t xml:space="preserve">to </w:t>
      </w:r>
      <w:r w:rsidR="00DA00FF">
        <w:t xml:space="preserve">governing institutions </w:t>
      </w:r>
      <w:r w:rsidRPr="007B3BB8">
        <w:t xml:space="preserve">but how to save science from its </w:t>
      </w:r>
      <w:r w:rsidR="00B80703" w:rsidRPr="007B3BB8">
        <w:t>own instrumental success</w:t>
      </w:r>
      <w:r w:rsidR="00DA00FF">
        <w:t>es</w:t>
      </w:r>
      <w:r w:rsidRPr="007B3BB8">
        <w:t xml:space="preserve">.  Bush envisioned a grave threat to science from its close partnership with the state at the end of the Second World War.  This, as Michael Dennis argues, was a specter of state control so </w:t>
      </w:r>
      <w:r w:rsidR="00293A6E">
        <w:t>like</w:t>
      </w:r>
      <w:r w:rsidRPr="007B3BB8">
        <w:t xml:space="preserve"> the Soviet Union’s disastrous embrace of Lysenkoism that it figured as a “monster” in Bush’s imagination.  Dennis traces the production of a Cold War U.S. imaginary of science and the state through the tension between Bush’s attempts to carve out a space of “basic science,” wholly free from politics, and the political scientist Don K. Price’s alternative plan to integrate politics with science in his 1954 book </w:t>
      </w:r>
      <w:r w:rsidRPr="007B3BB8">
        <w:rPr>
          <w:i/>
        </w:rPr>
        <w:t>Government and Science</w:t>
      </w:r>
      <w:r w:rsidRPr="007B3BB8">
        <w:t xml:space="preserve">.  Price, who had the enviable opportunity to work his ideas into pedagogical practice at Harvard’s newly minted School of Government, in effect won that contest.  He rightly foresaw that there was no turning back on the union between science and politics forged during the war, if not long before (Forman 2007).  In Price’s imagination, however, the </w:t>
      </w:r>
      <w:r w:rsidR="00293A6E">
        <w:t>potential power imbalance</w:t>
      </w:r>
      <w:r w:rsidRPr="007B3BB8">
        <w:t xml:space="preserve"> could be managed by a networked state, in which universities and other independent entities would deliver wise, confidential advice on how to direct </w:t>
      </w:r>
      <w:r w:rsidR="00293A6E">
        <w:t>research</w:t>
      </w:r>
      <w:r w:rsidRPr="007B3BB8">
        <w:t xml:space="preserve"> in the public (read </w:t>
      </w:r>
      <w:r w:rsidRPr="007B3BB8">
        <w:rPr>
          <w:i/>
        </w:rPr>
        <w:t>military</w:t>
      </w:r>
      <w:r w:rsidRPr="007B3BB8">
        <w:t xml:space="preserve">) interest.  A deep irony of Price’s sanitized vision was that it ignored the plight of J. Robert Oppenheimer, the physicist </w:t>
      </w:r>
      <w:r w:rsidR="00B80703" w:rsidRPr="007B3BB8">
        <w:t xml:space="preserve">and national hero </w:t>
      </w:r>
      <w:r w:rsidRPr="007B3BB8">
        <w:t xml:space="preserve">whose suspect loyalty to the state became the centerpiece of the infamous 1954 security </w:t>
      </w:r>
      <w:r w:rsidRPr="007B3BB8">
        <w:lastRenderedPageBreak/>
        <w:t xml:space="preserve">hearings.  </w:t>
      </w:r>
      <w:r w:rsidR="00C27C28">
        <w:t>Caught in</w:t>
      </w:r>
      <w:r w:rsidRPr="007B3BB8">
        <w:t xml:space="preserve"> the monstrous </w:t>
      </w:r>
      <w:r w:rsidR="00C27C28">
        <w:t>jaws</w:t>
      </w:r>
      <w:r w:rsidRPr="007B3BB8">
        <w:t xml:space="preserve"> of the Cold War imaginary that Bush so feared, Oppenheimer</w:t>
      </w:r>
      <w:r w:rsidR="00C27C28">
        <w:t xml:space="preserve"> in his</w:t>
      </w:r>
      <w:r w:rsidRPr="007B3BB8">
        <w:t xml:space="preserve"> fall from grace</w:t>
      </w:r>
      <w:r w:rsidR="00DC0A60">
        <w:t xml:space="preserve">—a </w:t>
      </w:r>
      <w:r w:rsidR="00C27C28">
        <w:t>symbol</w:t>
      </w:r>
      <w:r w:rsidR="00A515E0" w:rsidRPr="007B3BB8">
        <w:t xml:space="preserve"> of scie</w:t>
      </w:r>
      <w:r w:rsidR="00DC0A60">
        <w:t>nce’s subservience to politics—</w:t>
      </w:r>
      <w:r w:rsidR="00DE791E" w:rsidRPr="007B3BB8">
        <w:t xml:space="preserve">illustrates </w:t>
      </w:r>
      <w:r w:rsidRPr="007B3BB8">
        <w:t xml:space="preserve">the </w:t>
      </w:r>
      <w:r w:rsidR="00C27C28">
        <w:t>pathologies</w:t>
      </w:r>
      <w:r w:rsidRPr="007B3BB8">
        <w:t xml:space="preserve"> of the networked state that Price sought to render </w:t>
      </w:r>
      <w:r w:rsidR="00C27C28">
        <w:t>tractable</w:t>
      </w:r>
      <w:r w:rsidRPr="007B3BB8">
        <w:t xml:space="preserve"> through a professionalized science policy service.</w:t>
      </w:r>
    </w:p>
    <w:p w14:paraId="16359F55" w14:textId="2942D59D" w:rsidR="0028747B" w:rsidRPr="007B3BB8" w:rsidRDefault="0028747B" w:rsidP="0028747B">
      <w:pPr>
        <w:spacing w:line="480" w:lineRule="auto"/>
        <w:ind w:firstLine="720"/>
      </w:pPr>
      <w:r w:rsidRPr="007B3BB8">
        <w:t xml:space="preserve">The figure of the monster that energized Vannevar Bush’s postwar science policy surfaces, in one </w:t>
      </w:r>
      <w:r w:rsidR="00A515E0" w:rsidRPr="007B3BB8">
        <w:t xml:space="preserve">form </w:t>
      </w:r>
      <w:r w:rsidRPr="007B3BB8">
        <w:t xml:space="preserve">or another, in any attempt to imagine worlds </w:t>
      </w:r>
      <w:r w:rsidR="00B474CC" w:rsidRPr="007B3BB8">
        <w:t xml:space="preserve">radically </w:t>
      </w:r>
      <w:r w:rsidRPr="007B3BB8">
        <w:t xml:space="preserve">different from those that </w:t>
      </w:r>
      <w:r w:rsidR="00B474CC" w:rsidRPr="007B3BB8">
        <w:t xml:space="preserve">look threatening </w:t>
      </w:r>
      <w:r w:rsidRPr="007B3BB8">
        <w:t xml:space="preserve">in the present.  As such, the fear of monsters may be integral in some sense to imaginaries of resistance </w:t>
      </w:r>
      <w:r w:rsidR="00DE791E" w:rsidRPr="007B3BB8">
        <w:t>or revolution such as those</w:t>
      </w:r>
      <w:r w:rsidR="00B474CC" w:rsidRPr="007B3BB8">
        <w:t xml:space="preserve"> discussed in the chapters by Felt, Moon</w:t>
      </w:r>
      <w:r w:rsidR="009B770C">
        <w:t>,</w:t>
      </w:r>
      <w:r w:rsidR="00B474CC" w:rsidRPr="007B3BB8">
        <w:t xml:space="preserve"> and Barker</w:t>
      </w:r>
      <w:r w:rsidRPr="007B3BB8">
        <w:t xml:space="preserve">.  A point worth noting here, though, is that monsters can fire up institutional as well as individual imaginations.  In my comparative work on biotechnology policy, for example, I suggested that divergent national regulatory choices in the late twentieth century responded, in part, to culturally specific notions of what is morally repugnant, or monstrous, in projects to manipulate nature (Jasanoff 2005; see also </w:t>
      </w:r>
      <w:r w:rsidR="00252BB1">
        <w:t xml:space="preserve">Burri, </w:t>
      </w:r>
      <w:r w:rsidRPr="007B3BB8">
        <w:t>H</w:t>
      </w:r>
      <w:r w:rsidR="00252BB1">
        <w:t>urlbut</w:t>
      </w:r>
      <w:r w:rsidRPr="007B3BB8">
        <w:t xml:space="preserve"> this volume).  Such potent ideas of what </w:t>
      </w:r>
      <w:r w:rsidR="00DE791E" w:rsidRPr="007B3BB8">
        <w:t>has to</w:t>
      </w:r>
      <w:r w:rsidRPr="007B3BB8">
        <w:t xml:space="preserve"> be avoided—the discordant harmonics of </w:t>
      </w:r>
      <w:r w:rsidR="00B474CC" w:rsidRPr="007B3BB8">
        <w:t>risk</w:t>
      </w:r>
      <w:r w:rsidRPr="007B3BB8">
        <w:t xml:space="preserve"> and </w:t>
      </w:r>
      <w:r w:rsidR="00252BB1">
        <w:t>disorder</w:t>
      </w:r>
      <w:r w:rsidRPr="007B3BB8">
        <w:t xml:space="preserve"> that </w:t>
      </w:r>
      <w:r w:rsidR="00FC5D97">
        <w:t xml:space="preserve">trouble </w:t>
      </w:r>
      <w:r w:rsidRPr="007B3BB8">
        <w:t xml:space="preserve">the </w:t>
      </w:r>
      <w:r w:rsidR="00B474CC" w:rsidRPr="007B3BB8">
        <w:t>uplifting</w:t>
      </w:r>
      <w:r w:rsidRPr="007B3BB8">
        <w:t xml:space="preserve"> </w:t>
      </w:r>
      <w:r w:rsidR="00B474CC" w:rsidRPr="007B3BB8">
        <w:t>strains</w:t>
      </w:r>
      <w:r w:rsidRPr="007B3BB8">
        <w:t xml:space="preserve"> of technological progress and liberation—are part and parcel of the construction of imaginaries.  </w:t>
      </w:r>
    </w:p>
    <w:p w14:paraId="222E354E" w14:textId="550537F2" w:rsidR="001D0478" w:rsidRPr="007B3BB8" w:rsidRDefault="00DE791E" w:rsidP="00CA56C3">
      <w:pPr>
        <w:spacing w:line="480" w:lineRule="auto"/>
        <w:ind w:firstLine="720"/>
      </w:pPr>
      <w:r w:rsidRPr="007B3BB8">
        <w:t xml:space="preserve">Cecil </w:t>
      </w:r>
      <w:r w:rsidR="009F7845" w:rsidRPr="007B3BB8">
        <w:t>Rhodes</w:t>
      </w:r>
      <w:r w:rsidR="00971E4A" w:rsidRPr="007B3BB8">
        <w:t>’</w:t>
      </w:r>
      <w:r w:rsidR="009F7845" w:rsidRPr="007B3BB8">
        <w:t xml:space="preserve"> </w:t>
      </w:r>
      <w:r w:rsidRPr="007B3BB8">
        <w:t xml:space="preserve">African </w:t>
      </w:r>
      <w:r w:rsidR="009F7845" w:rsidRPr="007B3BB8">
        <w:t>nation-building</w:t>
      </w:r>
      <w:r w:rsidR="009B770C">
        <w:t xml:space="preserve">, </w:t>
      </w:r>
      <w:r w:rsidR="00BA50B3" w:rsidRPr="007B3BB8">
        <w:t xml:space="preserve">and eventually </w:t>
      </w:r>
      <w:r w:rsidRPr="007B3BB8">
        <w:t xml:space="preserve">his </w:t>
      </w:r>
      <w:r w:rsidR="00BA50B3" w:rsidRPr="007B3BB8">
        <w:t>imperial</w:t>
      </w:r>
      <w:r w:rsidRPr="007B3BB8">
        <w:t xml:space="preserve"> </w:t>
      </w:r>
      <w:r w:rsidR="009F7845" w:rsidRPr="007B3BB8">
        <w:t>project</w:t>
      </w:r>
      <w:r w:rsidR="009B770C">
        <w:t xml:space="preserve">, </w:t>
      </w:r>
      <w:r w:rsidR="00293A6E">
        <w:t>drew heavily on</w:t>
      </w:r>
      <w:r w:rsidR="00042B81" w:rsidRPr="007B3BB8">
        <w:t xml:space="preserve"> </w:t>
      </w:r>
      <w:r w:rsidR="00E66C9E" w:rsidRPr="007B3BB8">
        <w:t>the</w:t>
      </w:r>
      <w:r w:rsidR="00042B81" w:rsidRPr="007B3BB8">
        <w:t xml:space="preserve"> model</w:t>
      </w:r>
      <w:r w:rsidR="00E66C9E" w:rsidRPr="007B3BB8">
        <w:t xml:space="preserve"> of the British Empire</w:t>
      </w:r>
      <w:r w:rsidR="009B770C">
        <w:t xml:space="preserve"> as he saw it</w:t>
      </w:r>
      <w:r w:rsidR="00042B81" w:rsidRPr="007B3BB8">
        <w:t>.</w:t>
      </w:r>
      <w:r w:rsidR="00255C58" w:rsidRPr="007B3BB8">
        <w:t xml:space="preserve">  </w:t>
      </w:r>
      <w:r w:rsidR="00E66C9E" w:rsidRPr="007B3BB8">
        <w:t xml:space="preserve">He imagined bringing “the whole uncivilized world under British rule” (Storey, this volume), </w:t>
      </w:r>
      <w:r w:rsidR="00B474CC" w:rsidRPr="007B3BB8">
        <w:t>al</w:t>
      </w:r>
      <w:r w:rsidR="00E66C9E" w:rsidRPr="007B3BB8">
        <w:t xml:space="preserve">though his efforts ultimately </w:t>
      </w:r>
      <w:r w:rsidR="00A515E0" w:rsidRPr="007B3BB8">
        <w:t xml:space="preserve">led </w:t>
      </w:r>
      <w:r w:rsidR="00E66C9E" w:rsidRPr="007B3BB8">
        <w:t>to a form of rule entirely particular to South African conditions and circumstances.  Similarly</w:t>
      </w:r>
      <w:r w:rsidR="009F6CBE" w:rsidRPr="007B3BB8">
        <w:t xml:space="preserve">, </w:t>
      </w:r>
      <w:r w:rsidR="00245EC0" w:rsidRPr="007B3BB8">
        <w:t xml:space="preserve">late </w:t>
      </w:r>
      <w:r w:rsidR="00413AE2" w:rsidRPr="007B3BB8">
        <w:t xml:space="preserve">twentieth-century nation </w:t>
      </w:r>
      <w:r w:rsidR="009F6CBE" w:rsidRPr="007B3BB8">
        <w:t xml:space="preserve">builders </w:t>
      </w:r>
      <w:r w:rsidR="00245EC0" w:rsidRPr="007B3BB8">
        <w:t>found</w:t>
      </w:r>
      <w:r w:rsidR="009F6CBE" w:rsidRPr="007B3BB8">
        <w:t xml:space="preserve"> models to appropriate, rhetorically if not </w:t>
      </w:r>
      <w:r w:rsidR="00E66C9E" w:rsidRPr="007B3BB8">
        <w:t>in practice</w:t>
      </w:r>
      <w:r w:rsidR="009B770C">
        <w:t>, from post</w:t>
      </w:r>
      <w:r w:rsidR="00A370FE" w:rsidRPr="007B3BB8">
        <w:t xml:space="preserve">colonial states that elbowed their way </w:t>
      </w:r>
      <w:r w:rsidR="00E66C9E" w:rsidRPr="007B3BB8">
        <w:lastRenderedPageBreak/>
        <w:t>in</w:t>
      </w:r>
      <w:r w:rsidR="00A370FE" w:rsidRPr="007B3BB8">
        <w:t>to modernity</w:t>
      </w:r>
      <w:r w:rsidR="00245EC0" w:rsidRPr="007B3BB8">
        <w:t xml:space="preserve"> during the </w:t>
      </w:r>
      <w:r w:rsidR="00AE1468" w:rsidRPr="007B3BB8">
        <w:t>postwar</w:t>
      </w:r>
      <w:r w:rsidR="00245EC0" w:rsidRPr="007B3BB8">
        <w:t xml:space="preserve"> period</w:t>
      </w:r>
      <w:r w:rsidR="009F6CBE" w:rsidRPr="007B3BB8">
        <w:t>.  Rwanda’s Paul Kagame belongs to this cadre</w:t>
      </w:r>
      <w:r w:rsidR="00B474CC" w:rsidRPr="007B3BB8">
        <w:t>, as does to some extent Onno Purbo, the “father of the Indonesian Internet,” described by Joshua Barker</w:t>
      </w:r>
      <w:r w:rsidR="009F6CBE" w:rsidRPr="007B3BB8">
        <w:t xml:space="preserve">. </w:t>
      </w:r>
      <w:r w:rsidR="00A370FE" w:rsidRPr="007B3BB8">
        <w:t xml:space="preserve"> </w:t>
      </w:r>
      <w:r w:rsidR="009F6CBE" w:rsidRPr="007B3BB8">
        <w:t>Kagame</w:t>
      </w:r>
      <w:r w:rsidR="00A370FE" w:rsidRPr="007B3BB8">
        <w:t xml:space="preserve">, in Warigia Bowman’s </w:t>
      </w:r>
      <w:r w:rsidR="00007209" w:rsidRPr="007B3BB8">
        <w:t>narrative</w:t>
      </w:r>
      <w:r w:rsidR="00A370FE" w:rsidRPr="007B3BB8">
        <w:t>,</w:t>
      </w:r>
      <w:r w:rsidR="009F6CBE" w:rsidRPr="007B3BB8">
        <w:t xml:space="preserve"> </w:t>
      </w:r>
      <w:r w:rsidR="00A370FE" w:rsidRPr="007B3BB8">
        <w:t>confronts</w:t>
      </w:r>
      <w:r w:rsidR="009F6CBE" w:rsidRPr="007B3BB8">
        <w:t xml:space="preserve"> problems </w:t>
      </w:r>
      <w:r w:rsidR="00A370FE" w:rsidRPr="007B3BB8">
        <w:t xml:space="preserve">that are almost </w:t>
      </w:r>
      <w:r w:rsidR="00007209" w:rsidRPr="007B3BB8">
        <w:t xml:space="preserve">the </w:t>
      </w:r>
      <w:r w:rsidR="00245EC0" w:rsidRPr="007B3BB8">
        <w:t xml:space="preserve">opposite </w:t>
      </w:r>
      <w:r w:rsidR="00007209" w:rsidRPr="007B3BB8">
        <w:t>of</w:t>
      </w:r>
      <w:r w:rsidR="00A370FE" w:rsidRPr="007B3BB8">
        <w:t xml:space="preserve"> those faced by</w:t>
      </w:r>
      <w:r w:rsidR="009F6CBE" w:rsidRPr="007B3BB8">
        <w:t xml:space="preserve"> Rhodes: a nation already divided by blood and </w:t>
      </w:r>
      <w:r w:rsidR="00A370FE" w:rsidRPr="007B3BB8">
        <w:t xml:space="preserve">the </w:t>
      </w:r>
      <w:r w:rsidR="00863A36" w:rsidRPr="007B3BB8">
        <w:t>backwash</w:t>
      </w:r>
      <w:r w:rsidR="009F6CBE" w:rsidRPr="007B3BB8">
        <w:t xml:space="preserve"> of genocide, a shattered economy, </w:t>
      </w:r>
      <w:r w:rsidR="00007209" w:rsidRPr="007B3BB8">
        <w:t xml:space="preserve">elites in disarray, </w:t>
      </w:r>
      <w:r w:rsidR="009F6CBE" w:rsidRPr="007B3BB8">
        <w:t xml:space="preserve">and ruling institutions in ruins.  With so much destruction on the ground, it is </w:t>
      </w:r>
      <w:r w:rsidR="00863A36" w:rsidRPr="007B3BB8">
        <w:t xml:space="preserve">poetically </w:t>
      </w:r>
      <w:r w:rsidR="00FC5D97">
        <w:t>just</w:t>
      </w:r>
      <w:r w:rsidR="009F6CBE" w:rsidRPr="007B3BB8">
        <w:t xml:space="preserve"> that this seasoned </w:t>
      </w:r>
      <w:r w:rsidR="00BD5C32">
        <w:t xml:space="preserve">warrior </w:t>
      </w:r>
      <w:r w:rsidR="00E66C9E" w:rsidRPr="007B3BB8">
        <w:t>seized</w:t>
      </w:r>
      <w:r w:rsidR="00863A36" w:rsidRPr="007B3BB8">
        <w:t xml:space="preserve"> on an aerial metaphor</w:t>
      </w:r>
      <w:r w:rsidR="009F6CBE" w:rsidRPr="007B3BB8">
        <w:t xml:space="preserve">, the imaginary of </w:t>
      </w:r>
      <w:r w:rsidR="00F24211" w:rsidRPr="007B3BB8">
        <w:t>South-East Asia’s “</w:t>
      </w:r>
      <w:r w:rsidR="0048568D" w:rsidRPr="007B3BB8">
        <w:t>flying geese</w:t>
      </w:r>
      <w:r w:rsidR="00F24211" w:rsidRPr="007B3BB8">
        <w:t xml:space="preserve">” </w:t>
      </w:r>
      <w:r w:rsidR="0048568D" w:rsidRPr="007B3BB8">
        <w:t>(</w:t>
      </w:r>
      <w:r w:rsidR="00CA2D87" w:rsidRPr="007B3BB8">
        <w:t>Akamatsu 1962</w:t>
      </w:r>
      <w:r w:rsidR="0048568D" w:rsidRPr="007B3BB8">
        <w:t xml:space="preserve">), </w:t>
      </w:r>
      <w:r w:rsidR="00F24211" w:rsidRPr="007B3BB8">
        <w:t xml:space="preserve">and </w:t>
      </w:r>
      <w:r w:rsidR="00413AE2" w:rsidRPr="007B3BB8">
        <w:t xml:space="preserve">of </w:t>
      </w:r>
      <w:r w:rsidR="00F24211" w:rsidRPr="007B3BB8">
        <w:t xml:space="preserve">Singapore in particular, to </w:t>
      </w:r>
      <w:r w:rsidR="00007209" w:rsidRPr="007B3BB8">
        <w:t>will</w:t>
      </w:r>
      <w:r w:rsidR="00F24211" w:rsidRPr="007B3BB8">
        <w:t xml:space="preserve"> </w:t>
      </w:r>
      <w:r w:rsidR="00863A36" w:rsidRPr="007B3BB8">
        <w:t xml:space="preserve">a new Rwanda </w:t>
      </w:r>
      <w:r w:rsidR="00F24211" w:rsidRPr="007B3BB8">
        <w:t>into being.</w:t>
      </w:r>
      <w:r w:rsidR="001130D8" w:rsidRPr="007B3BB8">
        <w:t xml:space="preserve"> </w:t>
      </w:r>
      <w:r w:rsidR="00A515E0" w:rsidRPr="007B3BB8">
        <w:t xml:space="preserve"> </w:t>
      </w:r>
      <w:r w:rsidR="001130D8" w:rsidRPr="007B3BB8">
        <w:t xml:space="preserve">Bowman’s chapter </w:t>
      </w:r>
      <w:r w:rsidR="00007209" w:rsidRPr="007B3BB8">
        <w:t>describes</w:t>
      </w:r>
      <w:r w:rsidR="001130D8" w:rsidRPr="007B3BB8">
        <w:t xml:space="preserve"> the </w:t>
      </w:r>
      <w:r w:rsidR="00007209" w:rsidRPr="007B3BB8">
        <w:t xml:space="preserve">inevitable </w:t>
      </w:r>
      <w:r w:rsidR="001130D8" w:rsidRPr="007B3BB8">
        <w:t xml:space="preserve">disjunctions between the </w:t>
      </w:r>
      <w:r w:rsidR="00A515E0" w:rsidRPr="007B3BB8">
        <w:t xml:space="preserve">envisioned </w:t>
      </w:r>
      <w:r w:rsidR="001130D8" w:rsidRPr="007B3BB8">
        <w:t>model and</w:t>
      </w:r>
      <w:r w:rsidR="00C904C0" w:rsidRPr="007B3BB8">
        <w:t xml:space="preserve"> its </w:t>
      </w:r>
      <w:r w:rsidR="00A515E0" w:rsidRPr="007B3BB8">
        <w:t xml:space="preserve">mundane </w:t>
      </w:r>
      <w:r w:rsidR="00C904C0" w:rsidRPr="007B3BB8">
        <w:t>context</w:t>
      </w:r>
      <w:r w:rsidR="00A515E0" w:rsidRPr="007B3BB8">
        <w:t>s</w:t>
      </w:r>
      <w:r w:rsidR="00C904C0" w:rsidRPr="007B3BB8">
        <w:t xml:space="preserve"> of application.  Kagame’s is a dream of technology in the abstract, divorced from the institutional and cultural </w:t>
      </w:r>
      <w:r w:rsidR="00007209" w:rsidRPr="007B3BB8">
        <w:t>supports</w:t>
      </w:r>
      <w:r w:rsidR="00C904C0" w:rsidRPr="007B3BB8">
        <w:t>—</w:t>
      </w:r>
      <w:r w:rsidR="002048DA" w:rsidRPr="007B3BB8">
        <w:t>such as English language pr</w:t>
      </w:r>
      <w:r w:rsidR="00C904C0" w:rsidRPr="007B3BB8">
        <w:t>oficiency</w:t>
      </w:r>
      <w:r w:rsidR="00C7213E" w:rsidRPr="007B3BB8">
        <w:t xml:space="preserve"> and relative income equality</w:t>
      </w:r>
      <w:r w:rsidR="00C904C0" w:rsidRPr="007B3BB8">
        <w:t>—</w:t>
      </w:r>
      <w:r w:rsidR="002048DA" w:rsidRPr="007B3BB8">
        <w:t>that made the</w:t>
      </w:r>
      <w:r w:rsidR="00EF41D3">
        <w:t xml:space="preserve"> </w:t>
      </w:r>
      <w:r w:rsidR="00EF41D3" w:rsidRPr="007B3BB8">
        <w:t>Singapore</w:t>
      </w:r>
      <w:r w:rsidR="00EF41D3">
        <w:t>an</w:t>
      </w:r>
      <w:r w:rsidR="002048DA" w:rsidRPr="007B3BB8">
        <w:t xml:space="preserve"> inform</w:t>
      </w:r>
      <w:r w:rsidR="00C904C0" w:rsidRPr="007B3BB8">
        <w:t>ation technology revolution succeed.</w:t>
      </w:r>
      <w:r w:rsidR="00007209" w:rsidRPr="007B3BB8">
        <w:t xml:space="preserve">  </w:t>
      </w:r>
      <w:r w:rsidR="00C7213E" w:rsidRPr="007B3BB8">
        <w:t>Kagame’s</w:t>
      </w:r>
      <w:r w:rsidR="00007209" w:rsidRPr="007B3BB8">
        <w:t xml:space="preserve"> Rwanda </w:t>
      </w:r>
      <w:r w:rsidR="00E66C9E" w:rsidRPr="007B3BB8">
        <w:t>progressed</w:t>
      </w:r>
      <w:r w:rsidR="00007209" w:rsidRPr="007B3BB8">
        <w:t xml:space="preserve"> toward healing its deadly </w:t>
      </w:r>
      <w:r w:rsidR="00E66C9E" w:rsidRPr="007B3BB8">
        <w:t xml:space="preserve">ethnic </w:t>
      </w:r>
      <w:r w:rsidR="009B770C">
        <w:t>rifts</w:t>
      </w:r>
      <w:r w:rsidR="00EF41D3">
        <w:t>,</w:t>
      </w:r>
      <w:r w:rsidR="009B770C">
        <w:t xml:space="preserve"> </w:t>
      </w:r>
      <w:r w:rsidR="00007209" w:rsidRPr="007B3BB8">
        <w:t>but big gaps remain</w:t>
      </w:r>
      <w:r w:rsidR="00E66C9E" w:rsidRPr="007B3BB8">
        <w:t>ed</w:t>
      </w:r>
      <w:r w:rsidR="00007209" w:rsidRPr="007B3BB8">
        <w:t xml:space="preserve"> between the leader’s soaring </w:t>
      </w:r>
      <w:r w:rsidR="009B770C">
        <w:t>rhetoric</w:t>
      </w:r>
      <w:r w:rsidR="00E66C9E" w:rsidRPr="007B3BB8">
        <w:t xml:space="preserve"> of progress</w:t>
      </w:r>
      <w:r w:rsidR="00007209" w:rsidRPr="007B3BB8">
        <w:t xml:space="preserve"> and on-the-ground </w:t>
      </w:r>
      <w:r w:rsidR="00562B3A" w:rsidRPr="007B3BB8">
        <w:t>social and technological realities</w:t>
      </w:r>
      <w:r w:rsidR="00007209" w:rsidRPr="007B3BB8">
        <w:t>.</w:t>
      </w:r>
    </w:p>
    <w:p w14:paraId="61BFB85E" w14:textId="77777777" w:rsidR="000A6064" w:rsidRPr="007B3BB8" w:rsidRDefault="000A6064" w:rsidP="00CA56C3">
      <w:pPr>
        <w:spacing w:before="120" w:line="480" w:lineRule="auto"/>
        <w:rPr>
          <w:b/>
        </w:rPr>
      </w:pPr>
      <w:r w:rsidRPr="007B3BB8">
        <w:rPr>
          <w:b/>
        </w:rPr>
        <w:t>Embedding</w:t>
      </w:r>
    </w:p>
    <w:p w14:paraId="1310CF7C" w14:textId="4AE275AF" w:rsidR="00A515E0" w:rsidRPr="007B3BB8" w:rsidRDefault="00A515E0" w:rsidP="00CD331C">
      <w:pPr>
        <w:spacing w:line="480" w:lineRule="auto"/>
        <w:ind w:firstLine="720"/>
      </w:pPr>
      <w:r w:rsidRPr="007B3BB8">
        <w:t xml:space="preserve">Ideas matter in </w:t>
      </w:r>
      <w:r w:rsidR="00CA56C3" w:rsidRPr="007B3BB8">
        <w:t xml:space="preserve">the </w:t>
      </w:r>
      <w:r w:rsidRPr="007B3BB8">
        <w:t xml:space="preserve">origin stories of imaginaries, whether they begin in the minds of single individuals, </w:t>
      </w:r>
      <w:r w:rsidR="003506CC">
        <w:t>in</w:t>
      </w:r>
      <w:r w:rsidR="003056BC">
        <w:t xml:space="preserve"> projects </w:t>
      </w:r>
      <w:r w:rsidR="00CA56C3" w:rsidRPr="007B3BB8">
        <w:t>of</w:t>
      </w:r>
      <w:r w:rsidRPr="007B3BB8">
        <w:t xml:space="preserve"> like-minded activists (Barker, </w:t>
      </w:r>
      <w:r w:rsidR="00CA56C3" w:rsidRPr="007B3BB8">
        <w:t xml:space="preserve">Kim, Moon, </w:t>
      </w:r>
      <w:r w:rsidRPr="007B3BB8">
        <w:t xml:space="preserve">this volume), </w:t>
      </w:r>
      <w:r w:rsidR="00CA56C3" w:rsidRPr="007B3BB8">
        <w:t>in</w:t>
      </w:r>
      <w:r w:rsidRPr="007B3BB8">
        <w:t xml:space="preserve"> corporate boardrooms (Smith, this volume), or among professionals such as bioethicists trained to think together for the common good (Hurlbut, this volume).  But ideas about scientific and technological futures need to </w:t>
      </w:r>
      <w:r w:rsidR="00CA56C3" w:rsidRPr="007B3BB8">
        <w:t xml:space="preserve">gain assent </w:t>
      </w:r>
      <w:r w:rsidR="00EF41D3">
        <w:t xml:space="preserve">outside </w:t>
      </w:r>
      <w:r w:rsidR="00743165">
        <w:t>such bounded</w:t>
      </w:r>
      <w:r w:rsidR="00EF41D3">
        <w:t xml:space="preserve"> communities </w:t>
      </w:r>
      <w:r w:rsidR="00CA56C3" w:rsidRPr="007B3BB8">
        <w:t>in order to become full-fledged imaginaries</w:t>
      </w:r>
      <w:r w:rsidR="00EF41D3">
        <w:t>.  O</w:t>
      </w:r>
      <w:r w:rsidR="00CA56C3" w:rsidRPr="007B3BB8">
        <w:t>ften</w:t>
      </w:r>
      <w:r w:rsidR="00EF41D3">
        <w:t>, they</w:t>
      </w:r>
      <w:r w:rsidR="00CA56C3" w:rsidRPr="007B3BB8">
        <w:t xml:space="preserve"> </w:t>
      </w:r>
      <w:r w:rsidR="00EF41D3">
        <w:t>must</w:t>
      </w:r>
      <w:r w:rsidR="00CA56C3" w:rsidRPr="007B3BB8">
        <w:t xml:space="preserve"> latch on</w:t>
      </w:r>
      <w:r w:rsidRPr="007B3BB8">
        <w:t xml:space="preserve">to tangible things that circulate and generate economic or social value: commodities like </w:t>
      </w:r>
      <w:r w:rsidRPr="007B3BB8">
        <w:lastRenderedPageBreak/>
        <w:t>wine or diamonds; artifacts such as defensive weaponry or GM crops; legal instruments such as licenses allocating intellectual property rights; or, as in the cases of bottom-up innovation described b</w:t>
      </w:r>
      <w:r w:rsidR="00CA56C3" w:rsidRPr="007B3BB8">
        <w:t>y Moon and Barker in their stori</w:t>
      </w:r>
      <w:r w:rsidRPr="007B3BB8">
        <w:t xml:space="preserve">es about Indonesia, the relative hardness of </w:t>
      </w:r>
      <w:r w:rsidR="00EF41D3">
        <w:t xml:space="preserve">long </w:t>
      </w:r>
      <w:r w:rsidRPr="007B3BB8">
        <w:t xml:space="preserve">entrenched </w:t>
      </w:r>
      <w:r w:rsidR="00C67302">
        <w:t>cultural</w:t>
      </w:r>
      <w:r w:rsidRPr="007B3BB8">
        <w:t xml:space="preserve"> </w:t>
      </w:r>
      <w:r w:rsidR="003056BC" w:rsidRPr="007B3BB8">
        <w:t xml:space="preserve">expectations </w:t>
      </w:r>
      <w:r w:rsidRPr="007B3BB8">
        <w:t xml:space="preserve">and </w:t>
      </w:r>
      <w:r w:rsidR="00CA56C3" w:rsidRPr="007B3BB8">
        <w:t>interpersonal</w:t>
      </w:r>
      <w:r w:rsidR="003056BC" w:rsidRPr="003056BC">
        <w:t xml:space="preserve"> </w:t>
      </w:r>
      <w:r w:rsidR="003056BC" w:rsidRPr="007B3BB8">
        <w:t>relations</w:t>
      </w:r>
      <w:r w:rsidR="00DD6E10">
        <w:t xml:space="preserve">.  This hybridization, </w:t>
      </w:r>
      <w:r w:rsidRPr="007B3BB8">
        <w:t>or co-production</w:t>
      </w:r>
      <w:r w:rsidR="00DD6E10">
        <w:t xml:space="preserve"> (Jasanoff 2004</w:t>
      </w:r>
      <w:r w:rsidRPr="007B3BB8">
        <w:t xml:space="preserve">) of ideas, materiality, values, and sociality happens through processes that we call embedding.  </w:t>
      </w:r>
    </w:p>
    <w:p w14:paraId="06F479A7" w14:textId="5A33AE55" w:rsidR="00CD331C" w:rsidRPr="007B3BB8" w:rsidRDefault="00EF41D3" w:rsidP="00CD331C">
      <w:pPr>
        <w:spacing w:line="480" w:lineRule="auto"/>
        <w:ind w:firstLine="720"/>
      </w:pPr>
      <w:r w:rsidRPr="007B3BB8">
        <w:t xml:space="preserve">Sociotechnical imaginaries are similar in many respects to large technological systems, though they are made up in part of </w:t>
      </w:r>
      <w:r w:rsidR="00CA0BD8" w:rsidRPr="007B3BB8">
        <w:t xml:space="preserve">individual </w:t>
      </w:r>
      <w:r w:rsidRPr="007B3BB8">
        <w:t>visions</w:t>
      </w:r>
      <w:r w:rsidR="00CA0BD8">
        <w:t>,</w:t>
      </w:r>
      <w:r w:rsidRPr="007B3BB8">
        <w:t xml:space="preserve"> dreams</w:t>
      </w:r>
      <w:r w:rsidR="00CA0BD8">
        <w:t>,</w:t>
      </w:r>
      <w:r w:rsidRPr="007B3BB8">
        <w:t xml:space="preserve"> and </w:t>
      </w:r>
      <w:r w:rsidR="00CA0BD8">
        <w:t>ambitions</w:t>
      </w:r>
      <w:r w:rsidRPr="007B3BB8">
        <w:t xml:space="preserve">.  </w:t>
      </w:r>
      <w:r w:rsidR="00A515E0" w:rsidRPr="007B3BB8">
        <w:t>T</w:t>
      </w:r>
      <w:r w:rsidR="000A6064" w:rsidRPr="007B3BB8">
        <w:t xml:space="preserve">he idea of inspiration </w:t>
      </w:r>
      <w:r w:rsidR="007A0315">
        <w:t xml:space="preserve">still </w:t>
      </w:r>
      <w:r w:rsidR="000A6064" w:rsidRPr="007B3BB8">
        <w:t xml:space="preserve">permeates </w:t>
      </w:r>
      <w:r w:rsidR="007A0315">
        <w:t xml:space="preserve">much talk and </w:t>
      </w:r>
      <w:r w:rsidR="000A6064" w:rsidRPr="007B3BB8">
        <w:t>t</w:t>
      </w:r>
      <w:r w:rsidR="004D1989">
        <w:t xml:space="preserve">hinking about the imagination.  </w:t>
      </w:r>
      <w:r>
        <w:t>I</w:t>
      </w:r>
      <w:r w:rsidR="00802B66" w:rsidRPr="007B3BB8">
        <w:t xml:space="preserve">maginative faculties </w:t>
      </w:r>
      <w:r>
        <w:t xml:space="preserve">are imputed </w:t>
      </w:r>
      <w:r w:rsidR="00802B66" w:rsidRPr="007B3BB8">
        <w:t xml:space="preserve">to </w:t>
      </w:r>
      <w:r w:rsidR="000A6064" w:rsidRPr="007B3BB8">
        <w:t xml:space="preserve">specially gifted people who have not lost the childlike capacity for wonder and can call new worlds into being through sheer creative brilliance. </w:t>
      </w:r>
      <w:r w:rsidR="00213F81">
        <w:t xml:space="preserve"> </w:t>
      </w:r>
      <w:r w:rsidR="000A6064" w:rsidRPr="007B3BB8">
        <w:t xml:space="preserve">The “technoscientific imaginaries” that George Marcus </w:t>
      </w:r>
      <w:r w:rsidR="00C16A22" w:rsidRPr="007B3BB8">
        <w:t xml:space="preserve">(1995) </w:t>
      </w:r>
      <w:r w:rsidR="000A6064" w:rsidRPr="007B3BB8">
        <w:t>and other</w:t>
      </w:r>
      <w:r w:rsidR="00DD68AA" w:rsidRPr="007B3BB8">
        <w:t xml:space="preserve"> anthropologist</w:t>
      </w:r>
      <w:r w:rsidR="000A6064" w:rsidRPr="007B3BB8">
        <w:t xml:space="preserve">s have written of are largely </w:t>
      </w:r>
      <w:r w:rsidR="00802B66" w:rsidRPr="007B3BB8">
        <w:t xml:space="preserve">the </w:t>
      </w:r>
      <w:r w:rsidR="001940DD" w:rsidRPr="007B3BB8">
        <w:t>figments</w:t>
      </w:r>
      <w:r w:rsidR="000A6064" w:rsidRPr="007B3BB8">
        <w:t xml:space="preserve"> of individual envisioning.  </w:t>
      </w:r>
      <w:r w:rsidR="00213F81" w:rsidRPr="007B3BB8">
        <w:t>Reward structures in science</w:t>
      </w:r>
      <w:r w:rsidR="00CA0BD8">
        <w:t>, moreover,</w:t>
      </w:r>
      <w:r w:rsidR="00213F81" w:rsidRPr="007B3BB8">
        <w:t xml:space="preserve"> recognize and reinforce the idea of genius, which creates powerful role models for scientists</w:t>
      </w:r>
      <w:r w:rsidR="00213F81">
        <w:t>; more recently, parallel structures have arisen to reward not only discovery but also invention</w:t>
      </w:r>
      <w:r w:rsidR="00213F81" w:rsidRPr="007B3BB8">
        <w:t xml:space="preserve">.  </w:t>
      </w:r>
      <w:r w:rsidR="007A0315">
        <w:t>But one person’s vision does not make an imaginary any more than one swallow</w:t>
      </w:r>
      <w:r w:rsidR="004F5ABD">
        <w:t xml:space="preserve"> </w:t>
      </w:r>
      <w:r w:rsidR="00F5277A">
        <w:t>calls a summer into being</w:t>
      </w:r>
      <w:r w:rsidR="007A0315">
        <w:t xml:space="preserve">. </w:t>
      </w:r>
      <w:r w:rsidR="007A0315" w:rsidRPr="007B3BB8">
        <w:t xml:space="preserve"> </w:t>
      </w:r>
      <w:r w:rsidR="000A6064" w:rsidRPr="007B3BB8">
        <w:t xml:space="preserve">It </w:t>
      </w:r>
      <w:r w:rsidR="007A0315">
        <w:t xml:space="preserve">may take </w:t>
      </w:r>
      <w:r w:rsidR="000A6064" w:rsidRPr="007B3BB8">
        <w:t xml:space="preserve">considerable mental effort to rethink the process of creative projection not as one person’s “intellectual scheme” but </w:t>
      </w:r>
      <w:r w:rsidR="00802B66" w:rsidRPr="007B3BB8">
        <w:t xml:space="preserve">rather </w:t>
      </w:r>
      <w:r w:rsidR="000A6064" w:rsidRPr="007B3BB8">
        <w:t>as</w:t>
      </w:r>
      <w:r w:rsidR="00802B66" w:rsidRPr="007B3BB8">
        <w:t xml:space="preserve"> a</w:t>
      </w:r>
      <w:r w:rsidR="000A6064" w:rsidRPr="007B3BB8">
        <w:t xml:space="preserve"> collective reflec</w:t>
      </w:r>
      <w:r w:rsidR="00802B66" w:rsidRPr="007B3BB8">
        <w:t xml:space="preserve">tion on </w:t>
      </w:r>
      <w:r w:rsidR="001940DD" w:rsidRPr="007B3BB8">
        <w:t>a group’s</w:t>
      </w:r>
      <w:r w:rsidR="00802B66" w:rsidRPr="007B3BB8">
        <w:t xml:space="preserve"> “social existence</w:t>
      </w:r>
      <w:r w:rsidR="000A6064" w:rsidRPr="007B3BB8">
        <w:t xml:space="preserve">” </w:t>
      </w:r>
      <w:r w:rsidR="00802B66" w:rsidRPr="007B3BB8">
        <w:t>(Taylor 2002:23);</w:t>
      </w:r>
      <w:r w:rsidR="000A6064" w:rsidRPr="007B3BB8">
        <w:t xml:space="preserve"> </w:t>
      </w:r>
      <w:r w:rsidR="00C16A22" w:rsidRPr="007B3BB8">
        <w:t xml:space="preserve">nor </w:t>
      </w:r>
      <w:r w:rsidR="000A6064" w:rsidRPr="007B3BB8">
        <w:t>as “mere contemplation” but as an “organized field of social practices” (Appadurai 2002:50).</w:t>
      </w:r>
      <w:r w:rsidR="004A227B" w:rsidRPr="007B3BB8">
        <w:t xml:space="preserve">  Nonetheless, historians of technology have long </w:t>
      </w:r>
      <w:r w:rsidR="00C6092B" w:rsidRPr="007B3BB8">
        <w:t>insisted</w:t>
      </w:r>
      <w:r w:rsidR="004A227B" w:rsidRPr="007B3BB8">
        <w:t xml:space="preserve"> that </w:t>
      </w:r>
      <w:r w:rsidR="007411E1" w:rsidRPr="007B3BB8">
        <w:t>creating novel</w:t>
      </w:r>
      <w:r w:rsidR="004A227B" w:rsidRPr="007B3BB8">
        <w:t xml:space="preserve"> material </w:t>
      </w:r>
      <w:r w:rsidR="00A873B7" w:rsidRPr="007B3BB8">
        <w:t>objects</w:t>
      </w:r>
      <w:r w:rsidR="004A227B" w:rsidRPr="007B3BB8">
        <w:t xml:space="preserve"> involves more than individual insight; indeed, this may be the reason why the “charismatic inventor” is a rarer figure in popular </w:t>
      </w:r>
      <w:r w:rsidR="004A227B" w:rsidRPr="007B3BB8">
        <w:lastRenderedPageBreak/>
        <w:t xml:space="preserve">mythology than the “genius scientist.”  </w:t>
      </w:r>
      <w:r w:rsidR="00802B66" w:rsidRPr="007B3BB8">
        <w:t>And</w:t>
      </w:r>
      <w:r w:rsidR="004A227B" w:rsidRPr="007B3BB8">
        <w:t xml:space="preserve"> work in science and technology studies has extensively documented that even Nobel Prize winning discoveries rely on social, cultural, economic, and normative </w:t>
      </w:r>
      <w:r w:rsidR="00A873B7" w:rsidRPr="007B3BB8">
        <w:t>structures</w:t>
      </w:r>
      <w:r w:rsidR="004A227B" w:rsidRPr="007B3BB8">
        <w:t xml:space="preserve"> in order to achieve their effects in the world (see, for example, Forman 1971, 2007; Rabinow 1996). </w:t>
      </w:r>
      <w:r w:rsidR="000A6064" w:rsidRPr="007B3BB8">
        <w:t xml:space="preserve">  </w:t>
      </w:r>
    </w:p>
    <w:p w14:paraId="6BEBB895" w14:textId="08C1685C" w:rsidR="00CD331C" w:rsidRPr="007B3BB8" w:rsidRDefault="00CA56C3" w:rsidP="00CD331C">
      <w:pPr>
        <w:spacing w:line="480" w:lineRule="auto"/>
        <w:ind w:firstLine="720"/>
      </w:pPr>
      <w:r w:rsidRPr="007B3BB8">
        <w:t>A</w:t>
      </w:r>
      <w:r w:rsidR="007A0315" w:rsidRPr="007B3BB8">
        <w:t>s many of the foregoing chapters illustrate,</w:t>
      </w:r>
      <w:r w:rsidRPr="007B3BB8">
        <w:t xml:space="preserve"> </w:t>
      </w:r>
      <w:r w:rsidR="007A0315">
        <w:t xml:space="preserve">a </w:t>
      </w:r>
      <w:r w:rsidR="004D1989">
        <w:t>foretaste</w:t>
      </w:r>
      <w:r w:rsidRPr="007B3BB8">
        <w:t xml:space="preserve"> of change</w:t>
      </w:r>
      <w:r w:rsidR="000A6064" w:rsidRPr="007B3BB8">
        <w:t xml:space="preserve">, even </w:t>
      </w:r>
      <w:r w:rsidR="00273471" w:rsidRPr="007B3BB8">
        <w:t>when</w:t>
      </w:r>
      <w:r w:rsidR="000A6064" w:rsidRPr="007B3BB8">
        <w:t xml:space="preserve"> it originates with a sole progenitor, </w:t>
      </w:r>
      <w:r w:rsidR="00B20B44" w:rsidRPr="007B3BB8">
        <w:t>needs</w:t>
      </w:r>
      <w:r w:rsidR="000A6064" w:rsidRPr="007B3BB8">
        <w:t xml:space="preserve"> to </w:t>
      </w:r>
      <w:r w:rsidR="00C6092B" w:rsidRPr="007B3BB8">
        <w:t>be laid down upon</w:t>
      </w:r>
      <w:r w:rsidR="000A6064" w:rsidRPr="007B3BB8">
        <w:t xml:space="preserve"> economic, material, and social infrastructures in order to take hold at population-wide or nationwide levels.</w:t>
      </w:r>
      <w:r w:rsidR="00011610" w:rsidRPr="007B3BB8">
        <w:t xml:space="preserve">  Cecil Rhodes </w:t>
      </w:r>
      <w:r w:rsidR="00AF7AD0" w:rsidRPr="007B3BB8">
        <w:t>had</w:t>
      </w:r>
      <w:r w:rsidR="007E616E" w:rsidRPr="007B3BB8">
        <w:t xml:space="preserve"> to move</w:t>
      </w:r>
      <w:r w:rsidR="00011610" w:rsidRPr="007B3BB8">
        <w:t xml:space="preserve"> mountains</w:t>
      </w:r>
      <w:r w:rsidR="001319F8" w:rsidRPr="007B3BB8">
        <w:t>, not merely in his mind</w:t>
      </w:r>
      <w:r w:rsidR="00AF7AD0" w:rsidRPr="007B3BB8">
        <w:t xml:space="preserve"> but literally</w:t>
      </w:r>
      <w:r w:rsidR="001319F8" w:rsidRPr="007B3BB8">
        <w:t xml:space="preserve">, </w:t>
      </w:r>
      <w:r w:rsidR="001940DD" w:rsidRPr="007B3BB8">
        <w:t xml:space="preserve">and to harness new machines </w:t>
      </w:r>
      <w:r w:rsidR="001319F8" w:rsidRPr="007B3BB8">
        <w:t xml:space="preserve">in order to get at the </w:t>
      </w:r>
      <w:r w:rsidR="00C16A22" w:rsidRPr="007B3BB8">
        <w:t>gems</w:t>
      </w:r>
      <w:r w:rsidR="001319F8" w:rsidRPr="007B3BB8">
        <w:t xml:space="preserve"> that propel</w:t>
      </w:r>
      <w:r w:rsidR="00AF7AD0" w:rsidRPr="007B3BB8">
        <w:t>led</w:t>
      </w:r>
      <w:r w:rsidR="001319F8" w:rsidRPr="007B3BB8">
        <w:t xml:space="preserve"> his </w:t>
      </w:r>
      <w:r w:rsidR="00DF1124" w:rsidRPr="007B3BB8">
        <w:t>stratospheric rise along</w:t>
      </w:r>
      <w:r w:rsidR="001319F8" w:rsidRPr="007B3BB8">
        <w:t xml:space="preserve"> South Africa</w:t>
      </w:r>
      <w:r w:rsidR="00DF1124" w:rsidRPr="007B3BB8">
        <w:t>’s economic and political axes</w:t>
      </w:r>
      <w:r w:rsidR="001319F8" w:rsidRPr="007B3BB8">
        <w:t xml:space="preserve">.  His </w:t>
      </w:r>
      <w:r w:rsidR="00AF7AD0" w:rsidRPr="007B3BB8">
        <w:t>early reflections</w:t>
      </w:r>
      <w:r w:rsidR="001319F8" w:rsidRPr="007B3BB8">
        <w:t xml:space="preserve"> </w:t>
      </w:r>
      <w:r w:rsidR="00AF7AD0" w:rsidRPr="007B3BB8">
        <w:t>were</w:t>
      </w:r>
      <w:r w:rsidR="001319F8" w:rsidRPr="007B3BB8">
        <w:t xml:space="preserve"> prescient: “Some day I expect to see the kopje one big basin where once there was a large hill” (Storey, this volume).</w:t>
      </w:r>
      <w:r w:rsidR="00F964AC" w:rsidRPr="007B3BB8">
        <w:t xml:space="preserve">  H</w:t>
      </w:r>
      <w:r w:rsidR="00DF1124" w:rsidRPr="007B3BB8">
        <w:t xml:space="preserve">is </w:t>
      </w:r>
      <w:r w:rsidR="00AF7AD0" w:rsidRPr="007B3BB8">
        <w:t>was</w:t>
      </w:r>
      <w:r w:rsidR="00DF1124" w:rsidRPr="007B3BB8">
        <w:t xml:space="preserve"> a </w:t>
      </w:r>
      <w:r w:rsidR="00F964AC" w:rsidRPr="007B3BB8">
        <w:t xml:space="preserve">grounded, </w:t>
      </w:r>
      <w:r w:rsidR="008422F8" w:rsidRPr="007B3BB8">
        <w:t>physical</w:t>
      </w:r>
      <w:r w:rsidR="00DF1124" w:rsidRPr="007B3BB8">
        <w:t xml:space="preserve"> vision</w:t>
      </w:r>
      <w:r w:rsidR="00F964AC" w:rsidRPr="007B3BB8">
        <w:t xml:space="preserve"> of progress, one that </w:t>
      </w:r>
      <w:r w:rsidR="00AF7AD0" w:rsidRPr="007B3BB8">
        <w:t>could not</w:t>
      </w:r>
      <w:r w:rsidR="00F964AC" w:rsidRPr="007B3BB8">
        <w:t xml:space="preserve"> </w:t>
      </w:r>
      <w:r w:rsidR="001940DD" w:rsidRPr="007B3BB8">
        <w:t xml:space="preserve">have </w:t>
      </w:r>
      <w:r w:rsidR="00F964AC" w:rsidRPr="007B3BB8">
        <w:t xml:space="preserve">come into being without skills, labor, </w:t>
      </w:r>
      <w:r w:rsidR="001940DD" w:rsidRPr="007B3BB8">
        <w:t xml:space="preserve">connections, </w:t>
      </w:r>
      <w:r w:rsidR="00F964AC" w:rsidRPr="007B3BB8">
        <w:t xml:space="preserve">money, </w:t>
      </w:r>
      <w:r w:rsidR="001940DD" w:rsidRPr="007B3BB8">
        <w:t>and</w:t>
      </w:r>
      <w:r w:rsidR="00F964AC" w:rsidRPr="007B3BB8">
        <w:t xml:space="preserve"> </w:t>
      </w:r>
      <w:r w:rsidR="00273471" w:rsidRPr="007B3BB8">
        <w:t>machines—</w:t>
      </w:r>
      <w:r w:rsidR="001940DD" w:rsidRPr="007B3BB8">
        <w:t>and</w:t>
      </w:r>
      <w:r w:rsidR="00273471" w:rsidRPr="007B3BB8">
        <w:t xml:space="preserve"> </w:t>
      </w:r>
      <w:r w:rsidR="00F964AC" w:rsidRPr="007B3BB8">
        <w:t xml:space="preserve">the subjugation of bodies </w:t>
      </w:r>
      <w:r w:rsidR="00802B66" w:rsidRPr="007B3BB8">
        <w:t>that work</w:t>
      </w:r>
      <w:r w:rsidR="00AF7AD0" w:rsidRPr="007B3BB8">
        <w:t>ed</w:t>
      </w:r>
      <w:r w:rsidR="00F964AC" w:rsidRPr="007B3BB8">
        <w:t xml:space="preserve"> to </w:t>
      </w:r>
      <w:r w:rsidR="00273471" w:rsidRPr="007B3BB8">
        <w:t>minds</w:t>
      </w:r>
      <w:r w:rsidR="00F964AC" w:rsidRPr="007B3BB8">
        <w:t xml:space="preserve"> </w:t>
      </w:r>
      <w:r w:rsidR="000359EA" w:rsidRPr="007B3BB8">
        <w:t xml:space="preserve">that </w:t>
      </w:r>
      <w:r w:rsidR="004D1989">
        <w:t>planned</w:t>
      </w:r>
      <w:r w:rsidR="00F964AC" w:rsidRPr="007B3BB8">
        <w:t xml:space="preserve"> the digging of pits, the laying of rails, and the </w:t>
      </w:r>
      <w:r w:rsidR="00273471" w:rsidRPr="007B3BB8">
        <w:t>ruling</w:t>
      </w:r>
      <w:r w:rsidR="00F964AC" w:rsidRPr="007B3BB8">
        <w:t xml:space="preserve"> of continents.</w:t>
      </w:r>
      <w:r w:rsidR="0059153A" w:rsidRPr="007B3BB8">
        <w:t xml:space="preserve"> </w:t>
      </w:r>
    </w:p>
    <w:p w14:paraId="75489069" w14:textId="77777777" w:rsidR="00753180" w:rsidRPr="007B3BB8" w:rsidRDefault="00753180" w:rsidP="00753180">
      <w:pPr>
        <w:spacing w:line="480" w:lineRule="auto"/>
        <w:ind w:firstLine="720"/>
      </w:pPr>
      <w:r w:rsidRPr="007B3BB8">
        <w:t xml:space="preserve">Through deployments of labor and capital, including nature’s capital, imaginaries get embedded in the concrete artifacts of industrial civilization, be they massive in size like engineered landscapes, medium like nuclear power plants (Felt, this volume; Jasanoff and Kim 2009), or tiny and mobile like genetically modified organisms (GMOs) (Chen, Smith, this volume).  Analogies and histories matter.  Kagame in Rwanda buys into a model of development sanctioned by </w:t>
      </w:r>
      <w:r>
        <w:t xml:space="preserve">assumed </w:t>
      </w:r>
      <w:r w:rsidRPr="007B3BB8">
        <w:t xml:space="preserve">success in Singapore.  The Chinese government, according to Chen, draws on its own long history of state-sponsored rice cultivation when it buys into  a genomic vision of plant breeding.  To be sure, that move </w:t>
      </w:r>
      <w:r w:rsidRPr="007B3BB8">
        <w:lastRenderedPageBreak/>
        <w:t>gains strength from a new</w:t>
      </w:r>
      <w:r>
        <w:t>er</w:t>
      </w:r>
      <w:r w:rsidRPr="007B3BB8">
        <w:t xml:space="preserve"> imaginary of scientific modernization; it also displaces farmers in the innovation chain, allowing genomic scientists to take the lead in solving the nation’s food security problem.</w:t>
      </w:r>
    </w:p>
    <w:p w14:paraId="3E728026" w14:textId="2CFB3A14" w:rsidR="00CD331C" w:rsidRPr="007B3BB8" w:rsidRDefault="00823C00" w:rsidP="00CD331C">
      <w:pPr>
        <w:spacing w:line="480" w:lineRule="auto"/>
        <w:ind w:firstLine="720"/>
      </w:pPr>
      <w:r w:rsidRPr="007B3BB8">
        <w:t>Embeddin</w:t>
      </w:r>
      <w:r w:rsidR="00D16CA4" w:rsidRPr="007B3BB8">
        <w:t xml:space="preserve">g </w:t>
      </w:r>
      <w:r w:rsidR="00D851B7">
        <w:t xml:space="preserve">also </w:t>
      </w:r>
      <w:r w:rsidR="00D16CA4" w:rsidRPr="007B3BB8">
        <w:t>occurs</w:t>
      </w:r>
      <w:r w:rsidR="003874FD" w:rsidRPr="007B3BB8">
        <w:t xml:space="preserve"> </w:t>
      </w:r>
      <w:r w:rsidR="00D16CA4" w:rsidRPr="007B3BB8">
        <w:t>through group</w:t>
      </w:r>
      <w:r w:rsidR="003874FD" w:rsidRPr="007B3BB8">
        <w:t xml:space="preserve"> reflection</w:t>
      </w:r>
      <w:r w:rsidR="008422F8" w:rsidRPr="007B3BB8">
        <w:t xml:space="preserve"> by </w:t>
      </w:r>
      <w:r w:rsidR="003874FD" w:rsidRPr="007B3BB8">
        <w:t xml:space="preserve">publics and other </w:t>
      </w:r>
      <w:r w:rsidR="008422F8" w:rsidRPr="007B3BB8">
        <w:t>non-state actors</w:t>
      </w:r>
      <w:r w:rsidRPr="007B3BB8">
        <w:t xml:space="preserve"> on remembered pasts and </w:t>
      </w:r>
      <w:r w:rsidR="00FC4D2D" w:rsidRPr="007B3BB8">
        <w:t>desired</w:t>
      </w:r>
      <w:r w:rsidRPr="007B3BB8">
        <w:t xml:space="preserve"> futures.  Ulrike Felt </w:t>
      </w:r>
      <w:r w:rsidR="00D16CA4" w:rsidRPr="007B3BB8">
        <w:t xml:space="preserve">provides a fascinating account of </w:t>
      </w:r>
      <w:r w:rsidR="0003795E" w:rsidRPr="007B3BB8">
        <w:t>the</w:t>
      </w:r>
      <w:r w:rsidR="00D16CA4" w:rsidRPr="007B3BB8">
        <w:t xml:space="preserve"> mobilization of </w:t>
      </w:r>
      <w:r w:rsidR="003E022C" w:rsidRPr="007B3BB8">
        <w:t>citizens’ memories</w:t>
      </w:r>
      <w:r w:rsidR="00D16CA4" w:rsidRPr="007B3BB8">
        <w:t xml:space="preserve"> to produce a new imaginary of Austria as free from technologies seen as </w:t>
      </w:r>
      <w:r w:rsidR="00883206" w:rsidRPr="007B3BB8">
        <w:t>incompatible with</w:t>
      </w:r>
      <w:r w:rsidR="00D16CA4" w:rsidRPr="007B3BB8">
        <w:t xml:space="preserve"> national identity.</w:t>
      </w:r>
      <w:r w:rsidR="003E022C" w:rsidRPr="007B3BB8">
        <w:t xml:space="preserve">  </w:t>
      </w:r>
      <w:r w:rsidR="003874FD" w:rsidRPr="007B3BB8">
        <w:t>F</w:t>
      </w:r>
      <w:r w:rsidR="00AC3FC1" w:rsidRPr="007B3BB8">
        <w:t xml:space="preserve">ocus group </w:t>
      </w:r>
      <w:r w:rsidR="003E022C" w:rsidRPr="007B3BB8">
        <w:t>research by Felt</w:t>
      </w:r>
      <w:r w:rsidR="00AC3FC1" w:rsidRPr="007B3BB8">
        <w:t xml:space="preserve"> and her colleagues </w:t>
      </w:r>
      <w:r w:rsidR="003E022C" w:rsidRPr="007B3BB8">
        <w:t>doc</w:t>
      </w:r>
      <w:r w:rsidR="003874FD" w:rsidRPr="007B3BB8">
        <w:t>uments that,</w:t>
      </w:r>
      <w:r w:rsidR="003E022C" w:rsidRPr="007B3BB8">
        <w:t xml:space="preserve"> by the first dec</w:t>
      </w:r>
      <w:r w:rsidR="0003795E" w:rsidRPr="007B3BB8">
        <w:t>ade of the twenty-first century</w:t>
      </w:r>
      <w:r w:rsidR="003874FD" w:rsidRPr="007B3BB8">
        <w:t>,</w:t>
      </w:r>
      <w:r w:rsidR="003E022C" w:rsidRPr="007B3BB8">
        <w:t xml:space="preserve"> Austrian citizens </w:t>
      </w:r>
      <w:r w:rsidR="003874FD" w:rsidRPr="007B3BB8">
        <w:t>took pride in</w:t>
      </w:r>
      <w:r w:rsidR="00252E80" w:rsidRPr="007B3BB8">
        <w:t xml:space="preserve"> being a small nation that had stood up against technologies deemed </w:t>
      </w:r>
      <w:r w:rsidR="008422F8" w:rsidRPr="007B3BB8">
        <w:t xml:space="preserve">both </w:t>
      </w:r>
      <w:r w:rsidR="00252E80" w:rsidRPr="007B3BB8">
        <w:t xml:space="preserve">harmful </w:t>
      </w:r>
      <w:r w:rsidR="00AC3FC1" w:rsidRPr="007B3BB8">
        <w:t>and non-Austrian.  Ordinary Austrians congratulated themselves on having</w:t>
      </w:r>
      <w:r w:rsidR="00252E80" w:rsidRPr="007B3BB8">
        <w:t xml:space="preserve"> innovated </w:t>
      </w:r>
      <w:r w:rsidR="008422F8" w:rsidRPr="007B3BB8">
        <w:t>policy instruments</w:t>
      </w:r>
      <w:r w:rsidR="00AC3FC1" w:rsidRPr="007B3BB8">
        <w:t>, such as warning labels,</w:t>
      </w:r>
      <w:r w:rsidR="00252E80" w:rsidRPr="007B3BB8">
        <w:t xml:space="preserve"> to </w:t>
      </w:r>
      <w:r w:rsidR="00AC3FC1" w:rsidRPr="007B3BB8">
        <w:t>enable</w:t>
      </w:r>
      <w:r w:rsidR="00252E80" w:rsidRPr="007B3BB8">
        <w:t xml:space="preserve"> a regime of nuclear and GM</w:t>
      </w:r>
      <w:r w:rsidR="00AC3FC1" w:rsidRPr="007B3BB8">
        <w:t>O</w:t>
      </w:r>
      <w:r w:rsidR="00252E80" w:rsidRPr="007B3BB8">
        <w:t xml:space="preserve">-free coexistence within the </w:t>
      </w:r>
      <w:r w:rsidR="00C94B7A" w:rsidRPr="007B3BB8">
        <w:t>European</w:t>
      </w:r>
      <w:r w:rsidR="00252E80" w:rsidRPr="007B3BB8">
        <w:t xml:space="preserve"> Union.  This assertion of “epistemic subsidiarity” (Jasanoff 2012) rested on an </w:t>
      </w:r>
      <w:r w:rsidR="0032699F" w:rsidRPr="007B3BB8">
        <w:t>assembling</w:t>
      </w:r>
      <w:r w:rsidR="00252E80" w:rsidRPr="007B3BB8">
        <w:t xml:space="preserve"> of factual and counterfactual events that together constituted a new narrative of </w:t>
      </w:r>
      <w:r w:rsidR="003874FD" w:rsidRPr="007B3BB8">
        <w:t>Austrian autonomy</w:t>
      </w:r>
      <w:r w:rsidR="00252E80" w:rsidRPr="007B3BB8">
        <w:t>.  A</w:t>
      </w:r>
      <w:r w:rsidR="00371513" w:rsidRPr="007B3BB8">
        <w:t xml:space="preserve"> </w:t>
      </w:r>
      <w:r w:rsidR="00AC3FC1" w:rsidRPr="007B3BB8">
        <w:t xml:space="preserve">powerfully </w:t>
      </w:r>
      <w:r w:rsidR="00883206" w:rsidRPr="007B3BB8">
        <w:t>imagined</w:t>
      </w:r>
      <w:r w:rsidR="00C94B7A" w:rsidRPr="007B3BB8">
        <w:t xml:space="preserve"> “balcony</w:t>
      </w:r>
      <w:r w:rsidR="00252E80" w:rsidRPr="007B3BB8">
        <w:t xml:space="preserve"> scene” in which </w:t>
      </w:r>
      <w:r w:rsidR="00883206" w:rsidRPr="007B3BB8">
        <w:t>the words “Austria is free” were allegedly spoken</w:t>
      </w:r>
      <w:r w:rsidR="00C1320A" w:rsidRPr="007B3BB8">
        <w:t>, though there is no record of that utterance being made there</w:t>
      </w:r>
      <w:r w:rsidR="00252E80" w:rsidRPr="007B3BB8">
        <w:t xml:space="preserve">, an inconclusive anti-nuclear referendum later seen as dispositive, and </w:t>
      </w:r>
      <w:r w:rsidR="00AC3FC1" w:rsidRPr="007B3BB8">
        <w:t xml:space="preserve">a successful though possibly ineffectual referendum against </w:t>
      </w:r>
      <w:r w:rsidR="00C94B7A" w:rsidRPr="007B3BB8">
        <w:t>agricultural</w:t>
      </w:r>
      <w:r w:rsidR="00AC3FC1" w:rsidRPr="007B3BB8">
        <w:t xml:space="preserve"> biotechnology</w:t>
      </w:r>
      <w:r w:rsidR="00C1320A" w:rsidRPr="007B3BB8">
        <w:t xml:space="preserve">—all these </w:t>
      </w:r>
      <w:r w:rsidR="008422F8" w:rsidRPr="007B3BB8">
        <w:t xml:space="preserve">were </w:t>
      </w:r>
      <w:r w:rsidR="00371513" w:rsidRPr="007B3BB8">
        <w:t>pieced</w:t>
      </w:r>
      <w:r w:rsidR="00AC3FC1" w:rsidRPr="007B3BB8">
        <w:t xml:space="preserve"> together </w:t>
      </w:r>
      <w:r w:rsidR="00C1320A" w:rsidRPr="007B3BB8">
        <w:t>by</w:t>
      </w:r>
      <w:r w:rsidR="00AC3FC1" w:rsidRPr="007B3BB8">
        <w:t xml:space="preserve"> </w:t>
      </w:r>
      <w:r w:rsidR="00C1320A" w:rsidRPr="007B3BB8">
        <w:t xml:space="preserve">citizens </w:t>
      </w:r>
      <w:r w:rsidR="00AC3FC1" w:rsidRPr="007B3BB8">
        <w:t>and</w:t>
      </w:r>
      <w:r w:rsidR="00C1320A" w:rsidRPr="007B3BB8">
        <w:t xml:space="preserve"> the media</w:t>
      </w:r>
      <w:r w:rsidR="00AC3FC1" w:rsidRPr="007B3BB8">
        <w:t xml:space="preserve"> into </w:t>
      </w:r>
      <w:r w:rsidR="00C1320A" w:rsidRPr="007B3BB8">
        <w:t>a</w:t>
      </w:r>
      <w:r w:rsidR="00AC3FC1" w:rsidRPr="007B3BB8">
        <w:t xml:space="preserve"> </w:t>
      </w:r>
      <w:r w:rsidR="00A76272" w:rsidRPr="007B3BB8">
        <w:t>compelling</w:t>
      </w:r>
      <w:r w:rsidR="00C1320A" w:rsidRPr="007B3BB8">
        <w:t xml:space="preserve"> picture of a small state going its own way in choosing and rejecting technologies. </w:t>
      </w:r>
    </w:p>
    <w:p w14:paraId="49AB08DF" w14:textId="410F4398" w:rsidR="00B139F0" w:rsidRPr="007B3BB8" w:rsidRDefault="00CD331C" w:rsidP="00CD331C">
      <w:pPr>
        <w:spacing w:line="480" w:lineRule="auto"/>
        <w:ind w:firstLine="720"/>
      </w:pPr>
      <w:r w:rsidRPr="007B3BB8">
        <w:t xml:space="preserve">Memory work </w:t>
      </w:r>
      <w:r w:rsidR="00E55F03" w:rsidRPr="007B3BB8">
        <w:t>and imaginaries similarly loop together</w:t>
      </w:r>
      <w:r w:rsidRPr="007B3BB8">
        <w:t xml:space="preserve"> in </w:t>
      </w:r>
      <w:r w:rsidR="006C02EB" w:rsidRPr="007B3BB8">
        <w:t xml:space="preserve">J. </w:t>
      </w:r>
      <w:r w:rsidRPr="007B3BB8">
        <w:t>Ben</w:t>
      </w:r>
      <w:r w:rsidR="00B03F4B" w:rsidRPr="007B3BB8">
        <w:t>jamin</w:t>
      </w:r>
      <w:r w:rsidRPr="007B3BB8">
        <w:t xml:space="preserve"> Hurlbut’s chapter on </w:t>
      </w:r>
      <w:r w:rsidR="00B03F4B" w:rsidRPr="007B3BB8">
        <w:t xml:space="preserve">the legacy of </w:t>
      </w:r>
      <w:r w:rsidRPr="007B3BB8">
        <w:t xml:space="preserve">Asilomar </w:t>
      </w:r>
      <w:r w:rsidR="00B03F4B" w:rsidRPr="007B3BB8">
        <w:t>in U.S. deliberations on the ethics of biotechnology.</w:t>
      </w:r>
      <w:r w:rsidR="00FD0C7F" w:rsidRPr="007B3BB8">
        <w:t xml:space="preserve">  Here, in contrast to the Austrian case, it is not citizens or non-governmental organizations </w:t>
      </w:r>
      <w:r w:rsidR="00A04501" w:rsidRPr="007B3BB8">
        <w:lastRenderedPageBreak/>
        <w:t>who</w:t>
      </w:r>
      <w:r w:rsidR="00FD0C7F" w:rsidRPr="007B3BB8">
        <w:t xml:space="preserve"> </w:t>
      </w:r>
      <w:r w:rsidR="008422F8" w:rsidRPr="007B3BB8">
        <w:t>play upon</w:t>
      </w:r>
      <w:r w:rsidR="00FD0C7F" w:rsidRPr="007B3BB8">
        <w:t xml:space="preserve"> collective memory, but rather </w:t>
      </w:r>
      <w:r w:rsidR="00C94B7A" w:rsidRPr="007B3BB8">
        <w:t>scientists</w:t>
      </w:r>
      <w:r w:rsidR="00FD0C7F" w:rsidRPr="007B3BB8">
        <w:t xml:space="preserve"> and ethicists who jointly affirm the potent myths of value-free and self-regulating science that are so central to American political culture (Jasanoff 2005b).</w:t>
      </w:r>
      <w:r w:rsidR="00A04501" w:rsidRPr="007B3BB8">
        <w:t xml:space="preserve">  </w:t>
      </w:r>
      <w:r w:rsidR="00030F30">
        <w:t>T</w:t>
      </w:r>
      <w:r w:rsidR="00A04501" w:rsidRPr="007B3BB8">
        <w:t xml:space="preserve">hese </w:t>
      </w:r>
      <w:r w:rsidR="008422F8" w:rsidRPr="007B3BB8">
        <w:t>expert</w:t>
      </w:r>
      <w:r w:rsidR="00A04501" w:rsidRPr="007B3BB8">
        <w:t xml:space="preserve"> communities </w:t>
      </w:r>
      <w:r w:rsidR="00030F30">
        <w:t xml:space="preserve">recollect Asilomar </w:t>
      </w:r>
      <w:r w:rsidR="00A04501" w:rsidRPr="007B3BB8">
        <w:t xml:space="preserve">as a golden moment in which scientists took responsibility for the risks and rewards of their  </w:t>
      </w:r>
      <w:r w:rsidR="008047CD">
        <w:t xml:space="preserve">novel </w:t>
      </w:r>
      <w:r w:rsidR="00A04501" w:rsidRPr="007B3BB8">
        <w:t>creations</w:t>
      </w:r>
      <w:r w:rsidR="00C94B7A" w:rsidRPr="007B3BB8">
        <w:t xml:space="preserve">.  Bearing little resemblance to the actualities of the 1975 Asilomar meeting, </w:t>
      </w:r>
      <w:r w:rsidR="00DD1B9C">
        <w:t xml:space="preserve">which was </w:t>
      </w:r>
      <w:r w:rsidR="00C94B7A" w:rsidRPr="007B3BB8">
        <w:t xml:space="preserve">notable mainly for ratifying a reassuring discourse of containment around GMOs, </w:t>
      </w:r>
      <w:r w:rsidR="00F26001" w:rsidRPr="007B3BB8">
        <w:t>Hurlbut’s “</w:t>
      </w:r>
      <w:r w:rsidR="00C94B7A" w:rsidRPr="007B3BB8">
        <w:t>Asilomar-in-memory</w:t>
      </w:r>
      <w:r w:rsidR="00F26001" w:rsidRPr="007B3BB8">
        <w:t>”</w:t>
      </w:r>
      <w:r w:rsidR="00C94B7A" w:rsidRPr="007B3BB8">
        <w:t xml:space="preserve"> </w:t>
      </w:r>
      <w:r w:rsidR="00F35B1A" w:rsidRPr="007B3BB8">
        <w:t>shores up</w:t>
      </w:r>
      <w:r w:rsidR="00C94B7A" w:rsidRPr="007B3BB8">
        <w:t xml:space="preserve"> </w:t>
      </w:r>
      <w:r w:rsidR="00F35B1A" w:rsidRPr="007B3BB8">
        <w:t xml:space="preserve">broader </w:t>
      </w:r>
      <w:r w:rsidR="00F26001" w:rsidRPr="007B3BB8">
        <w:t xml:space="preserve">political and policy </w:t>
      </w:r>
      <w:r w:rsidR="00F35B1A" w:rsidRPr="007B3BB8">
        <w:t>settlements</w:t>
      </w:r>
      <w:r w:rsidR="00F26001" w:rsidRPr="007B3BB8">
        <w:t xml:space="preserve"> consistent with the overarching </w:t>
      </w:r>
      <w:r w:rsidR="006C65FD" w:rsidRPr="007B3BB8">
        <w:t xml:space="preserve">American </w:t>
      </w:r>
      <w:r w:rsidR="00F26001" w:rsidRPr="007B3BB8">
        <w:t>national imaginary of progress through scientific and technological innovation.</w:t>
      </w:r>
      <w:r w:rsidR="0006370B" w:rsidRPr="007B3BB8">
        <w:t xml:space="preserve">  Most significant here is the idea of a linear </w:t>
      </w:r>
      <w:r w:rsidR="004C2877" w:rsidRPr="007B3BB8">
        <w:t>progression</w:t>
      </w:r>
      <w:r w:rsidR="0006370B" w:rsidRPr="007B3BB8">
        <w:t xml:space="preserve"> from innovation at the bench to technological applications to eventual release into the market and the world.  That linear model remains a powerful resource for policy</w:t>
      </w:r>
      <w:r w:rsidR="00CA31CC" w:rsidRPr="007B3BB8">
        <w:t>makers</w:t>
      </w:r>
      <w:r w:rsidR="0006370B" w:rsidRPr="007B3BB8">
        <w:t xml:space="preserve">, even though it </w:t>
      </w:r>
      <w:r w:rsidR="00CA31CC" w:rsidRPr="007B3BB8">
        <w:t xml:space="preserve">has been </w:t>
      </w:r>
      <w:r w:rsidR="0006370B" w:rsidRPr="007B3BB8">
        <w:t xml:space="preserve">repeatedly, and thoroughly, discredited through </w:t>
      </w:r>
      <w:r w:rsidR="00273471" w:rsidRPr="007B3BB8">
        <w:t>empirical</w:t>
      </w:r>
      <w:r w:rsidR="0006370B" w:rsidRPr="007B3BB8">
        <w:t xml:space="preserve"> investigation (see, for example,</w:t>
      </w:r>
      <w:r w:rsidR="00107905" w:rsidRPr="007B3BB8">
        <w:t xml:space="preserve"> Pielke 2007; Stokes 1997</w:t>
      </w:r>
      <w:r w:rsidR="0006370B" w:rsidRPr="007B3BB8">
        <w:t>).</w:t>
      </w:r>
      <w:r w:rsidR="00B139F0" w:rsidRPr="007B3BB8">
        <w:t xml:space="preserve">  Hurlbut’s analysis shows how the </w:t>
      </w:r>
      <w:r w:rsidR="006C65FD" w:rsidRPr="007B3BB8">
        <w:t>adoption</w:t>
      </w:r>
      <w:r w:rsidR="00B139F0" w:rsidRPr="007B3BB8">
        <w:t xml:space="preserve"> of that convenient model </w:t>
      </w:r>
      <w:r w:rsidR="00276C78" w:rsidRPr="007B3BB8">
        <w:t xml:space="preserve">by leading bioethicists </w:t>
      </w:r>
      <w:r w:rsidR="00B139F0" w:rsidRPr="007B3BB8">
        <w:t xml:space="preserve">in effect disciplines democracy itself, by </w:t>
      </w:r>
      <w:r w:rsidR="00276C78" w:rsidRPr="007B3BB8">
        <w:t>permitting</w:t>
      </w:r>
      <w:r w:rsidR="00B139F0" w:rsidRPr="007B3BB8">
        <w:t xml:space="preserve"> scientists to define when, where, and even in what terms debates</w:t>
      </w:r>
      <w:r w:rsidR="004C2877" w:rsidRPr="007B3BB8">
        <w:t xml:space="preserve"> </w:t>
      </w:r>
      <w:r w:rsidR="00B139F0" w:rsidRPr="007B3BB8">
        <w:t xml:space="preserve">about the value of technological advances </w:t>
      </w:r>
      <w:r w:rsidR="008422F8" w:rsidRPr="007B3BB8">
        <w:t>should</w:t>
      </w:r>
      <w:r w:rsidR="00B139F0" w:rsidRPr="007B3BB8">
        <w:t xml:space="preserve"> take place.</w:t>
      </w:r>
      <w:r w:rsidR="00D13F2F" w:rsidRPr="007B3BB8">
        <w:t xml:space="preserve">  Science’s right to self-governance, legitimated through the construct of Asilomar-in-memory, thus produces as its </w:t>
      </w:r>
      <w:r w:rsidR="00F97A8E" w:rsidRPr="007B3BB8">
        <w:t>significant</w:t>
      </w:r>
      <w:r w:rsidR="00D13F2F" w:rsidRPr="007B3BB8">
        <w:t xml:space="preserve"> other a </w:t>
      </w:r>
      <w:r w:rsidR="00F97A8E" w:rsidRPr="007B3BB8">
        <w:t>constrained</w:t>
      </w:r>
      <w:r w:rsidR="00D13F2F" w:rsidRPr="007B3BB8">
        <w:t xml:space="preserve"> understanding of democracy</w:t>
      </w:r>
      <w:r w:rsidR="00F97A8E" w:rsidRPr="007B3BB8">
        <w:t>,</w:t>
      </w:r>
      <w:r w:rsidR="00D13F2F" w:rsidRPr="007B3BB8">
        <w:t xml:space="preserve"> in which </w:t>
      </w:r>
      <w:r w:rsidR="00E26B73" w:rsidRPr="007B3BB8">
        <w:t>scientists</w:t>
      </w:r>
      <w:r w:rsidR="00D13F2F" w:rsidRPr="007B3BB8">
        <w:t xml:space="preserve"> in effect define important parameters of political representation while </w:t>
      </w:r>
      <w:r w:rsidR="00DD1B9C">
        <w:t>purporting</w:t>
      </w:r>
      <w:r w:rsidR="00D13F2F" w:rsidRPr="007B3BB8">
        <w:t xml:space="preserve"> </w:t>
      </w:r>
      <w:r w:rsidR="004D1989">
        <w:t>merely</w:t>
      </w:r>
      <w:r w:rsidR="00D13F2F" w:rsidRPr="007B3BB8">
        <w:t xml:space="preserve"> to declare the state of the world as it is. </w:t>
      </w:r>
    </w:p>
    <w:p w14:paraId="41802F66" w14:textId="7D438AF1" w:rsidR="002C78AE" w:rsidRPr="007B3BB8" w:rsidRDefault="00B92F08" w:rsidP="00CD331C">
      <w:pPr>
        <w:spacing w:line="480" w:lineRule="auto"/>
        <w:ind w:firstLine="720"/>
      </w:pPr>
      <w:r w:rsidRPr="007B3BB8">
        <w:t xml:space="preserve">The embedding of sociotechnical imaginaries takes place, </w:t>
      </w:r>
      <w:r w:rsidR="00065EC9">
        <w:t>then</w:t>
      </w:r>
      <w:r w:rsidRPr="007B3BB8">
        <w:t xml:space="preserve">, through many </w:t>
      </w:r>
      <w:r w:rsidR="00C9481A" w:rsidRPr="007B3BB8">
        <w:t xml:space="preserve">partially overlapping </w:t>
      </w:r>
      <w:r w:rsidRPr="007B3BB8">
        <w:t>pathways</w:t>
      </w:r>
      <w:r w:rsidR="006C02EB" w:rsidRPr="007B3BB8">
        <w:t>—</w:t>
      </w:r>
      <w:r w:rsidRPr="007B3BB8">
        <w:t>from the production of things</w:t>
      </w:r>
      <w:r w:rsidR="002C78AE" w:rsidRPr="007B3BB8">
        <w:t xml:space="preserve"> such as GM rice</w:t>
      </w:r>
      <w:r w:rsidR="00701D74" w:rsidRPr="007B3BB8">
        <w:t xml:space="preserve"> or nanomaterials</w:t>
      </w:r>
      <w:r w:rsidRPr="007B3BB8">
        <w:t xml:space="preserve"> that have </w:t>
      </w:r>
      <w:r w:rsidR="006A514A" w:rsidRPr="007B3BB8">
        <w:t>hoped-for</w:t>
      </w:r>
      <w:r w:rsidRPr="007B3BB8">
        <w:t xml:space="preserve"> futures </w:t>
      </w:r>
      <w:r w:rsidR="00A7470B" w:rsidRPr="007B3BB8">
        <w:t>designed</w:t>
      </w:r>
      <w:r w:rsidRPr="007B3BB8">
        <w:t xml:space="preserve"> into them to the subtle, </w:t>
      </w:r>
      <w:r w:rsidRPr="007B3BB8">
        <w:lastRenderedPageBreak/>
        <w:t xml:space="preserve">unacknowledged processes of </w:t>
      </w:r>
      <w:r w:rsidR="002C78AE" w:rsidRPr="007B3BB8">
        <w:t xml:space="preserve">collective </w:t>
      </w:r>
      <w:r w:rsidR="008422F8" w:rsidRPr="007B3BB8">
        <w:t>“remembering</w:t>
      </w:r>
      <w:r w:rsidRPr="007B3BB8">
        <w:t>” of events</w:t>
      </w:r>
      <w:r w:rsidR="00886E60" w:rsidRPr="007B3BB8">
        <w:t>,</w:t>
      </w:r>
      <w:r w:rsidRPr="007B3BB8">
        <w:t xml:space="preserve"> </w:t>
      </w:r>
      <w:r w:rsidR="00886E60" w:rsidRPr="007B3BB8">
        <w:t>which</w:t>
      </w:r>
      <w:r w:rsidRPr="007B3BB8">
        <w:t xml:space="preserve"> </w:t>
      </w:r>
      <w:r w:rsidR="008422F8" w:rsidRPr="007B3BB8">
        <w:t xml:space="preserve">possibly </w:t>
      </w:r>
      <w:r w:rsidRPr="007B3BB8">
        <w:t>never took</w:t>
      </w:r>
      <w:r w:rsidR="00D13F2F" w:rsidRPr="007B3BB8">
        <w:t xml:space="preserve"> place</w:t>
      </w:r>
      <w:r w:rsidR="00886E60" w:rsidRPr="007B3BB8">
        <w:t>,</w:t>
      </w:r>
      <w:r w:rsidR="002C78AE" w:rsidRPr="007B3BB8">
        <w:t xml:space="preserve"> in order to construct </w:t>
      </w:r>
      <w:r w:rsidRPr="007B3BB8">
        <w:t xml:space="preserve">meaningful </w:t>
      </w:r>
      <w:r w:rsidR="006F6380" w:rsidRPr="007B3BB8">
        <w:t>translations</w:t>
      </w:r>
      <w:r w:rsidRPr="007B3BB8">
        <w:t xml:space="preserve"> from past</w:t>
      </w:r>
      <w:r w:rsidR="008422F8" w:rsidRPr="007B3BB8">
        <w:t>s</w:t>
      </w:r>
      <w:r w:rsidRPr="007B3BB8">
        <w:t xml:space="preserve"> </w:t>
      </w:r>
      <w:r w:rsidR="006A514A" w:rsidRPr="007B3BB8">
        <w:t>that were</w:t>
      </w:r>
      <w:r w:rsidR="00F97A8E" w:rsidRPr="007B3BB8">
        <w:t>,</w:t>
      </w:r>
      <w:r w:rsidR="006A514A" w:rsidRPr="007B3BB8">
        <w:t xml:space="preserve"> </w:t>
      </w:r>
      <w:r w:rsidRPr="007B3BB8">
        <w:t>to present</w:t>
      </w:r>
      <w:r w:rsidR="008422F8" w:rsidRPr="007B3BB8">
        <w:t>s</w:t>
      </w:r>
      <w:r w:rsidRPr="007B3BB8">
        <w:t xml:space="preserve"> </w:t>
      </w:r>
      <w:r w:rsidR="006A514A" w:rsidRPr="007B3BB8">
        <w:t>that are</w:t>
      </w:r>
      <w:r w:rsidR="00F97A8E" w:rsidRPr="007B3BB8">
        <w:t>,</w:t>
      </w:r>
      <w:r w:rsidR="006A514A" w:rsidRPr="007B3BB8">
        <w:t xml:space="preserve"> </w:t>
      </w:r>
      <w:r w:rsidRPr="007B3BB8">
        <w:t>to futures</w:t>
      </w:r>
      <w:r w:rsidR="006A514A" w:rsidRPr="007B3BB8">
        <w:t xml:space="preserve"> as people </w:t>
      </w:r>
      <w:r w:rsidR="00F97A8E" w:rsidRPr="007B3BB8">
        <w:t>would like</w:t>
      </w:r>
      <w:r w:rsidR="006A514A" w:rsidRPr="007B3BB8">
        <w:t xml:space="preserve"> them to be</w:t>
      </w:r>
      <w:r w:rsidRPr="007B3BB8">
        <w:t>.</w:t>
      </w:r>
      <w:r w:rsidR="008422F8" w:rsidRPr="007B3BB8">
        <w:t xml:space="preserve">  </w:t>
      </w:r>
      <w:r w:rsidR="00F30EE6" w:rsidRPr="007B3BB8">
        <w:t>It is through embedding, whether material as in objects or psychosocial as in memories</w:t>
      </w:r>
      <w:r w:rsidR="0059153A" w:rsidRPr="007B3BB8">
        <w:t xml:space="preserve"> and habits of social interaction</w:t>
      </w:r>
      <w:r w:rsidR="00F30EE6" w:rsidRPr="007B3BB8">
        <w:t>, that imaginaries are effectively translated into new contexts.  Embedding thus</w:t>
      </w:r>
      <w:r w:rsidR="002C78AE" w:rsidRPr="007B3BB8">
        <w:t xml:space="preserve"> perform</w:t>
      </w:r>
      <w:r w:rsidR="00F30EE6" w:rsidRPr="007B3BB8">
        <w:t>s</w:t>
      </w:r>
      <w:r w:rsidR="002C78AE" w:rsidRPr="007B3BB8">
        <w:t xml:space="preserve"> </w:t>
      </w:r>
      <w:r w:rsidR="008422F8" w:rsidRPr="007B3BB8">
        <w:t>an important part</w:t>
      </w:r>
      <w:r w:rsidR="006F6380" w:rsidRPr="007B3BB8">
        <w:t xml:space="preserve"> of </w:t>
      </w:r>
      <w:r w:rsidR="002C78AE" w:rsidRPr="007B3BB8">
        <w:t xml:space="preserve">the work of extension that allows imaginaries to spread </w:t>
      </w:r>
      <w:r w:rsidR="00F30EE6" w:rsidRPr="007B3BB8">
        <w:t>across</w:t>
      </w:r>
      <w:r w:rsidR="00612CD3" w:rsidRPr="007B3BB8">
        <w:t xml:space="preserve"> cultures,</w:t>
      </w:r>
      <w:r w:rsidR="002C78AE" w:rsidRPr="007B3BB8">
        <w:t xml:space="preserve"> time</w:t>
      </w:r>
      <w:r w:rsidR="00612CD3" w:rsidRPr="007B3BB8">
        <w:t>,</w:t>
      </w:r>
      <w:r w:rsidR="00F97A8E" w:rsidRPr="007B3BB8">
        <w:t xml:space="preserve"> and spa</w:t>
      </w:r>
      <w:r w:rsidR="00EF0911">
        <w:t xml:space="preserve">ce; </w:t>
      </w:r>
      <w:r w:rsidR="00F97A8E" w:rsidRPr="007B3BB8">
        <w:t>but it is not friction-free.</w:t>
      </w:r>
    </w:p>
    <w:p w14:paraId="6DA73478" w14:textId="77777777" w:rsidR="00B474CC" w:rsidRPr="007B3BB8" w:rsidRDefault="00B474CC" w:rsidP="00B474CC">
      <w:pPr>
        <w:spacing w:before="120" w:line="480" w:lineRule="auto"/>
      </w:pPr>
      <w:r w:rsidRPr="007B3BB8">
        <w:rPr>
          <w:b/>
        </w:rPr>
        <w:t>Resistance</w:t>
      </w:r>
    </w:p>
    <w:p w14:paraId="4294C652" w14:textId="0DC6F644" w:rsidR="00C91A76" w:rsidRPr="007B3BB8" w:rsidRDefault="00B474CC" w:rsidP="00B474CC">
      <w:pPr>
        <w:spacing w:line="480" w:lineRule="auto"/>
        <w:ind w:firstLine="720"/>
      </w:pPr>
      <w:r w:rsidRPr="007B3BB8">
        <w:t>Imaginaries, as we have argued throughout this volume</w:t>
      </w:r>
      <w:r w:rsidR="00557D2B">
        <w:t>,</w:t>
      </w:r>
      <w:r w:rsidRPr="007B3BB8">
        <w:t xml:space="preserve"> occupy a hybrid zone between the mental and the material, </w:t>
      </w:r>
      <w:r w:rsidR="00F97A8E" w:rsidRPr="007B3BB8">
        <w:t xml:space="preserve">between </w:t>
      </w:r>
      <w:r w:rsidR="00CB5BCE" w:rsidRPr="007B3BB8">
        <w:t>individual free will</w:t>
      </w:r>
      <w:r w:rsidR="00F97A8E" w:rsidRPr="007B3BB8">
        <w:t xml:space="preserve"> and </w:t>
      </w:r>
      <w:r w:rsidR="008B1C0C">
        <w:t xml:space="preserve">group </w:t>
      </w:r>
      <w:r w:rsidR="00F97A8E" w:rsidRPr="007B3BB8">
        <w:t>habitus (Bourdieu</w:t>
      </w:r>
      <w:r w:rsidR="00CB5BCE" w:rsidRPr="007B3BB8">
        <w:t xml:space="preserve"> 1990</w:t>
      </w:r>
      <w:r w:rsidR="00F97A8E" w:rsidRPr="007B3BB8">
        <w:t xml:space="preserve">), </w:t>
      </w:r>
      <w:r w:rsidRPr="007B3BB8">
        <w:t xml:space="preserve">between the fertility of ideas and the fixity of things.  </w:t>
      </w:r>
      <w:r w:rsidR="00C91A76" w:rsidRPr="007B3BB8">
        <w:t xml:space="preserve">Most importantly, however, sociotechnical imaginaries can become integrated into the discourses and practices of governance, and thereby structure the lifeworlds of </w:t>
      </w:r>
      <w:r w:rsidR="00557D2B">
        <w:t xml:space="preserve">larger groups, including </w:t>
      </w:r>
      <w:r w:rsidR="00C91A76" w:rsidRPr="007B3BB8">
        <w:t>entire nations</w:t>
      </w:r>
      <w:r w:rsidR="00557D2B">
        <w:t xml:space="preserve"> and even transnational communities</w:t>
      </w:r>
      <w:r w:rsidR="00C91A76" w:rsidRPr="007B3BB8">
        <w:t>.  That integration of imagination with rulership is perhaps easiest to discern in the early phases of a technology’s introduction, when evolving regulatory systems</w:t>
      </w:r>
      <w:r w:rsidR="006673CC">
        <w:t xml:space="preserve"> </w:t>
      </w:r>
      <w:r w:rsidR="00052F82">
        <w:t>are grappling</w:t>
      </w:r>
      <w:r w:rsidR="006673CC">
        <w:t xml:space="preserve"> with alternative framings of risks and </w:t>
      </w:r>
      <w:r w:rsidR="00566AF7">
        <w:t>benefits</w:t>
      </w:r>
      <w:r w:rsidR="00C91A76" w:rsidRPr="007B3BB8">
        <w:t xml:space="preserve">.  Moments of resistance, </w:t>
      </w:r>
      <w:r w:rsidR="00052F82">
        <w:t xml:space="preserve">which threaten the </w:t>
      </w:r>
      <w:r w:rsidR="00C91A76" w:rsidRPr="007B3BB8">
        <w:t>disintegration</w:t>
      </w:r>
      <w:r w:rsidR="006673CC">
        <w:t xml:space="preserve"> </w:t>
      </w:r>
      <w:r w:rsidR="00052F82">
        <w:t>of older</w:t>
      </w:r>
      <w:r w:rsidR="006673CC">
        <w:t xml:space="preserve"> settlements</w:t>
      </w:r>
      <w:r w:rsidR="00C91A76" w:rsidRPr="007B3BB8">
        <w:t>, offer additional insights</w:t>
      </w:r>
      <w:r w:rsidR="00CB5BCE" w:rsidRPr="007B3BB8">
        <w:t xml:space="preserve"> into </w:t>
      </w:r>
      <w:r w:rsidR="00557D2B">
        <w:t xml:space="preserve">the </w:t>
      </w:r>
      <w:r w:rsidR="00CB5BCE" w:rsidRPr="007B3BB8">
        <w:t>underlying structures and assumptions of power</w:t>
      </w:r>
      <w:r w:rsidR="00C91A76" w:rsidRPr="007B3BB8">
        <w:t>.</w:t>
      </w:r>
    </w:p>
    <w:p w14:paraId="608912D3" w14:textId="2514B752" w:rsidR="00B474CC" w:rsidRPr="007B3BB8" w:rsidRDefault="00557D2B" w:rsidP="00B474CC">
      <w:pPr>
        <w:spacing w:line="480" w:lineRule="auto"/>
        <w:ind w:firstLine="720"/>
      </w:pPr>
      <w:r>
        <w:t>I</w:t>
      </w:r>
      <w:r w:rsidRPr="007B3BB8">
        <w:t xml:space="preserve">maginaries </w:t>
      </w:r>
      <w:r w:rsidR="00BC5E60">
        <w:t>move</w:t>
      </w:r>
      <w:r w:rsidR="00B474CC" w:rsidRPr="007B3BB8">
        <w:t xml:space="preserve"> through the realm of </w:t>
      </w:r>
      <w:r>
        <w:t>r</w:t>
      </w:r>
      <w:r w:rsidRPr="007B3BB8">
        <w:t xml:space="preserve">esistance </w:t>
      </w:r>
      <w:r w:rsidR="00B474CC" w:rsidRPr="007B3BB8">
        <w:t xml:space="preserve">in double guise, sometimes raising impediments to the spread of new </w:t>
      </w:r>
      <w:r w:rsidR="00052F82">
        <w:t>ideas</w:t>
      </w:r>
      <w:r w:rsidR="00B474CC" w:rsidRPr="007B3BB8">
        <w:t xml:space="preserve">, and </w:t>
      </w:r>
      <w:r w:rsidR="00CB5BCE" w:rsidRPr="007B3BB8">
        <w:t xml:space="preserve">at </w:t>
      </w:r>
      <w:r w:rsidR="00B474CC" w:rsidRPr="007B3BB8">
        <w:t xml:space="preserve">other times crystallizing the dissatisfactions of the present into </w:t>
      </w:r>
      <w:r>
        <w:t>possibilities for</w:t>
      </w:r>
      <w:r w:rsidR="00B474CC" w:rsidRPr="007B3BB8">
        <w:t xml:space="preserve"> </w:t>
      </w:r>
      <w:r w:rsidR="00B00D23">
        <w:t>other</w:t>
      </w:r>
      <w:r w:rsidR="00B474CC" w:rsidRPr="007B3BB8">
        <w:t xml:space="preserve"> futures that people would sooner inhabit.  Revolutions, whether in science (Kuhn 1962) or </w:t>
      </w:r>
      <w:r>
        <w:t xml:space="preserve">in </w:t>
      </w:r>
      <w:r w:rsidR="00B474CC" w:rsidRPr="007B3BB8">
        <w:t xml:space="preserve">social order (Taylor 2004), can be seen as the overthrow of </w:t>
      </w:r>
      <w:r w:rsidR="00EF0911">
        <w:t>one</w:t>
      </w:r>
      <w:r w:rsidR="00CB5BCE" w:rsidRPr="007B3BB8">
        <w:t xml:space="preserve"> no longer sufficient</w:t>
      </w:r>
      <w:r w:rsidR="00B474CC" w:rsidRPr="007B3BB8">
        <w:t xml:space="preserve"> imaginary by another</w:t>
      </w:r>
      <w:r w:rsidR="00CB5BCE" w:rsidRPr="007B3BB8">
        <w:t xml:space="preserve"> </w:t>
      </w:r>
      <w:r w:rsidR="00EF0911">
        <w:t xml:space="preserve">that looks </w:t>
      </w:r>
      <w:r w:rsidR="00EF0911">
        <w:lastRenderedPageBreak/>
        <w:t>more</w:t>
      </w:r>
      <w:r w:rsidR="00CB5BCE" w:rsidRPr="007B3BB8">
        <w:t xml:space="preserve"> promising.  K</w:t>
      </w:r>
      <w:r w:rsidR="00B474CC" w:rsidRPr="007B3BB8">
        <w:t xml:space="preserve">ey to such </w:t>
      </w:r>
      <w:r w:rsidR="00CB5BCE" w:rsidRPr="007B3BB8">
        <w:t>complete and radical</w:t>
      </w:r>
      <w:r w:rsidR="00B474CC" w:rsidRPr="007B3BB8">
        <w:t xml:space="preserve"> transformations is </w:t>
      </w:r>
      <w:r w:rsidR="00B301C2" w:rsidRPr="007B3BB8">
        <w:t>a</w:t>
      </w:r>
      <w:r w:rsidR="00B474CC" w:rsidRPr="007B3BB8">
        <w:t xml:space="preserve"> </w:t>
      </w:r>
      <w:r w:rsidR="00EF0911">
        <w:t xml:space="preserve">widespread </w:t>
      </w:r>
      <w:r w:rsidR="00B474CC" w:rsidRPr="007B3BB8">
        <w:t xml:space="preserve">resistance to the status quo that makes </w:t>
      </w:r>
      <w:r w:rsidR="00CB5BCE" w:rsidRPr="007B3BB8">
        <w:t>the</w:t>
      </w:r>
      <w:r w:rsidR="00B474CC" w:rsidRPr="007B3BB8">
        <w:t xml:space="preserve"> </w:t>
      </w:r>
      <w:r>
        <w:t xml:space="preserve">projected </w:t>
      </w:r>
      <w:r w:rsidR="00B474CC" w:rsidRPr="007B3BB8">
        <w:t xml:space="preserve">alternative appealing, believable, and </w:t>
      </w:r>
      <w:r w:rsidR="00CB5BCE" w:rsidRPr="007B3BB8">
        <w:t>worth attaining</w:t>
      </w:r>
      <w:r w:rsidR="006B4248">
        <w:t>, even</w:t>
      </w:r>
      <w:r w:rsidR="00CB5BCE" w:rsidRPr="007B3BB8">
        <w:t xml:space="preserve"> through </w:t>
      </w:r>
      <w:r w:rsidR="006B4248">
        <w:t xml:space="preserve">immense </w:t>
      </w:r>
      <w:r w:rsidR="00CB5BCE" w:rsidRPr="007B3BB8">
        <w:t>struggle and sacrifice</w:t>
      </w:r>
      <w:r w:rsidR="00B474CC" w:rsidRPr="007B3BB8">
        <w:t>.</w:t>
      </w:r>
    </w:p>
    <w:p w14:paraId="05A41D18" w14:textId="772F4B99" w:rsidR="0031610F" w:rsidRPr="007B3BB8" w:rsidRDefault="00B301C2" w:rsidP="0031610F">
      <w:pPr>
        <w:spacing w:line="480" w:lineRule="auto"/>
        <w:ind w:firstLine="720"/>
      </w:pPr>
      <w:r w:rsidRPr="007B3BB8">
        <w:t xml:space="preserve">Heterodox imaginations are </w:t>
      </w:r>
      <w:r w:rsidR="00EF0911">
        <w:t>by no means</w:t>
      </w:r>
      <w:r w:rsidRPr="007B3BB8">
        <w:t xml:space="preserve"> guaranteed to succeed, especially when the </w:t>
      </w:r>
      <w:r w:rsidR="00EF0911">
        <w:t>dominant</w:t>
      </w:r>
      <w:r w:rsidRPr="007B3BB8">
        <w:t xml:space="preserve"> imaginary itself is strongly rooted in culture and history.  </w:t>
      </w:r>
      <w:r w:rsidR="0031610F" w:rsidRPr="007B3BB8">
        <w:t xml:space="preserve">Sang-Hyun Kim describes a situation in South Korea where repeated, forceful attempts to assert visions </w:t>
      </w:r>
      <w:r w:rsidRPr="007B3BB8">
        <w:t xml:space="preserve">counter </w:t>
      </w:r>
      <w:r w:rsidR="0031610F" w:rsidRPr="007B3BB8">
        <w:t>to those of state-supported, technocratic, developmental nationalism fail</w:t>
      </w:r>
      <w:r w:rsidRPr="007B3BB8">
        <w:t>ed</w:t>
      </w:r>
      <w:r w:rsidR="00317410">
        <w:t xml:space="preserve"> to win wide</w:t>
      </w:r>
      <w:r w:rsidR="00566AF7">
        <w:t>r</w:t>
      </w:r>
      <w:r w:rsidR="0031610F" w:rsidRPr="007B3BB8">
        <w:t xml:space="preserve"> popular support.  Kim shows that opposing </w:t>
      </w:r>
      <w:r w:rsidRPr="007B3BB8">
        <w:t>imaginaries</w:t>
      </w:r>
      <w:r w:rsidR="0031610F" w:rsidRPr="007B3BB8">
        <w:t xml:space="preserve"> were at play in the development of nuclear power, the regulation of biotechnology, and the demonstrations against beef potentially contaminated with bovine spongiform encephalopathy (BSE)</w:t>
      </w:r>
      <w:r w:rsidR="008550AF" w:rsidRPr="008550AF">
        <w:t xml:space="preserve"> </w:t>
      </w:r>
      <w:r w:rsidR="008550AF">
        <w:t>imported</w:t>
      </w:r>
      <w:r w:rsidR="0031610F" w:rsidRPr="007B3BB8">
        <w:t xml:space="preserve"> from the United States. </w:t>
      </w:r>
      <w:r w:rsidRPr="007B3BB8">
        <w:t xml:space="preserve"> It may matter that </w:t>
      </w:r>
      <w:r w:rsidR="00A87893">
        <w:t>two</w:t>
      </w:r>
      <w:r w:rsidR="00DF1F49">
        <w:t xml:space="preserve"> of </w:t>
      </w:r>
      <w:r w:rsidR="0031610F" w:rsidRPr="007B3BB8">
        <w:t>Kim’s cases—nuclear power and biotechnology—</w:t>
      </w:r>
      <w:r w:rsidRPr="007B3BB8">
        <w:t xml:space="preserve">involve technologies </w:t>
      </w:r>
      <w:r w:rsidR="0031610F" w:rsidRPr="007B3BB8">
        <w:t xml:space="preserve">through which states in the postwar period have </w:t>
      </w:r>
      <w:r w:rsidRPr="007B3BB8">
        <w:t xml:space="preserve">particularly </w:t>
      </w:r>
      <w:r w:rsidR="0031610F" w:rsidRPr="007B3BB8">
        <w:t xml:space="preserve">sought to </w:t>
      </w:r>
      <w:r w:rsidR="008550AF">
        <w:t>affirm</w:t>
      </w:r>
      <w:r w:rsidR="0031610F" w:rsidRPr="007B3BB8">
        <w:t xml:space="preserve"> their </w:t>
      </w:r>
      <w:r w:rsidR="008550AF">
        <w:t xml:space="preserve">high </w:t>
      </w:r>
      <w:r w:rsidR="0031610F" w:rsidRPr="007B3BB8">
        <w:t xml:space="preserve">standing among nations. </w:t>
      </w:r>
      <w:r w:rsidR="00A87893">
        <w:t xml:space="preserve"> G</w:t>
      </w:r>
      <w:r w:rsidR="0031610F" w:rsidRPr="007B3BB8">
        <w:t xml:space="preserve">iven nuclearity’s </w:t>
      </w:r>
      <w:r w:rsidRPr="007B3BB8">
        <w:t xml:space="preserve">wartime history and its </w:t>
      </w:r>
      <w:r w:rsidR="0031610F" w:rsidRPr="007B3BB8">
        <w:t xml:space="preserve">ties to both military and energy self-sufficiency, </w:t>
      </w:r>
      <w:r w:rsidR="00A87893">
        <w:t>n</w:t>
      </w:r>
      <w:r w:rsidR="00A87893" w:rsidRPr="007B3BB8">
        <w:t>ucle</w:t>
      </w:r>
      <w:r w:rsidR="00A87893">
        <w:t>ar power</w:t>
      </w:r>
      <w:r w:rsidR="00A87893" w:rsidRPr="007B3BB8">
        <w:t xml:space="preserve"> </w:t>
      </w:r>
      <w:r w:rsidR="002B3BEF">
        <w:t>resonates</w:t>
      </w:r>
      <w:r w:rsidR="0031610F" w:rsidRPr="007B3BB8">
        <w:t xml:space="preserve"> </w:t>
      </w:r>
      <w:r w:rsidR="00A87893">
        <w:t xml:space="preserve">quite </w:t>
      </w:r>
      <w:r w:rsidR="0031610F" w:rsidRPr="007B3BB8">
        <w:t xml:space="preserve">differently </w:t>
      </w:r>
      <w:r w:rsidR="002B3BEF">
        <w:t xml:space="preserve">in Korea </w:t>
      </w:r>
      <w:r w:rsidR="0031610F" w:rsidRPr="007B3BB8">
        <w:t xml:space="preserve">from </w:t>
      </w:r>
      <w:r w:rsidRPr="007B3BB8">
        <w:t>more recent new and emerging technologies</w:t>
      </w:r>
      <w:r w:rsidR="0031610F" w:rsidRPr="007B3BB8">
        <w:t>.  Nonetheless</w:t>
      </w:r>
      <w:r w:rsidR="00AF252A" w:rsidRPr="007B3BB8">
        <w:t xml:space="preserve">, </w:t>
      </w:r>
      <w:r w:rsidR="00A87893">
        <w:t xml:space="preserve">it is worth noting that, </w:t>
      </w:r>
      <w:r w:rsidR="00AF252A" w:rsidRPr="007B3BB8">
        <w:t>unlike in Felt’s account of the Austrian case,</w:t>
      </w:r>
      <w:r w:rsidR="0031610F" w:rsidRPr="007B3BB8">
        <w:t xml:space="preserve"> the repertoires of resistance </w:t>
      </w:r>
      <w:r w:rsidRPr="007B3BB8">
        <w:t>in South Korea seem</w:t>
      </w:r>
      <w:r w:rsidR="00A87893">
        <w:t>ed</w:t>
      </w:r>
      <w:r w:rsidRPr="007B3BB8">
        <w:t xml:space="preserve"> unable to </w:t>
      </w:r>
      <w:r w:rsidR="00C93404">
        <w:t>coopt</w:t>
      </w:r>
      <w:r w:rsidRPr="007B3BB8">
        <w:t xml:space="preserve"> the discourse</w:t>
      </w:r>
      <w:r w:rsidR="00A87893">
        <w:t>s</w:t>
      </w:r>
      <w:r w:rsidRPr="007B3BB8">
        <w:t xml:space="preserve"> of nationhood and national autonomy</w:t>
      </w:r>
      <w:r w:rsidR="0031610F" w:rsidRPr="007B3BB8">
        <w:t>.</w:t>
      </w:r>
    </w:p>
    <w:p w14:paraId="03FCDF8A" w14:textId="288602F0" w:rsidR="0031610F" w:rsidRPr="007B3BB8" w:rsidRDefault="0031610F" w:rsidP="0031610F">
      <w:pPr>
        <w:spacing w:line="480" w:lineRule="auto"/>
        <w:ind w:firstLine="720"/>
      </w:pPr>
      <w:r w:rsidRPr="007B3BB8">
        <w:t xml:space="preserve">In each South Korean </w:t>
      </w:r>
      <w:r w:rsidR="00AF252A" w:rsidRPr="007B3BB8">
        <w:t>controversy</w:t>
      </w:r>
      <w:r w:rsidRPr="007B3BB8">
        <w:t>, activist efforts founder</w:t>
      </w:r>
      <w:r w:rsidR="00AF252A" w:rsidRPr="007B3BB8">
        <w:t>ed against the national</w:t>
      </w:r>
      <w:r w:rsidRPr="007B3BB8">
        <w:t xml:space="preserve"> fear (</w:t>
      </w:r>
      <w:r w:rsidR="00D82B42">
        <w:t>a</w:t>
      </w:r>
      <w:r w:rsidRPr="007B3BB8">
        <w:t xml:space="preserve"> spectral monster) of losing </w:t>
      </w:r>
      <w:r w:rsidR="00AF252A" w:rsidRPr="007B3BB8">
        <w:t>an all-important</w:t>
      </w:r>
      <w:r w:rsidRPr="007B3BB8">
        <w:t xml:space="preserve"> competitive edge in </w:t>
      </w:r>
      <w:r w:rsidR="00D82B42">
        <w:t>relation to other countries</w:t>
      </w:r>
      <w:r w:rsidRPr="007B3BB8">
        <w:t xml:space="preserve">.  Put differently, the </w:t>
      </w:r>
      <w:r w:rsidR="00D82B42">
        <w:t xml:space="preserve">top-down </w:t>
      </w:r>
      <w:r w:rsidRPr="007B3BB8">
        <w:t xml:space="preserve">sociotechnical imaginary of industrially driven development, repeatedly expressed in South Korea’s desire to be among the world’s technology leaders (Kim forthcoming), proved resistant to the countervailing demands of </w:t>
      </w:r>
      <w:r w:rsidRPr="007B3BB8">
        <w:lastRenderedPageBreak/>
        <w:t xml:space="preserve">groups wishing to democratize the national politics and ethics of technology.  </w:t>
      </w:r>
      <w:r w:rsidR="00AF252A" w:rsidRPr="007B3BB8">
        <w:t>T</w:t>
      </w:r>
      <w:r w:rsidRPr="007B3BB8">
        <w:t xml:space="preserve">here was no </w:t>
      </w:r>
      <w:r w:rsidR="00AF252A" w:rsidRPr="007B3BB8">
        <w:t xml:space="preserve">other </w:t>
      </w:r>
      <w:r w:rsidR="00083A10">
        <w:t xml:space="preserve">equally </w:t>
      </w:r>
      <w:r w:rsidR="00AF252A" w:rsidRPr="007B3BB8">
        <w:t>compelling</w:t>
      </w:r>
      <w:r w:rsidRPr="007B3BB8">
        <w:t xml:space="preserve"> model of </w:t>
      </w:r>
      <w:r w:rsidR="00AF252A" w:rsidRPr="007B3BB8">
        <w:t xml:space="preserve">what the nation might stand for </w:t>
      </w:r>
      <w:r w:rsidR="00083A10">
        <w:t>to</w:t>
      </w:r>
      <w:r w:rsidR="00AF252A" w:rsidRPr="007B3BB8">
        <w:t xml:space="preserve"> </w:t>
      </w:r>
      <w:r w:rsidRPr="007B3BB8">
        <w:t xml:space="preserve">provide the </w:t>
      </w:r>
      <w:r w:rsidR="00AF252A" w:rsidRPr="007B3BB8">
        <w:t>foundations</w:t>
      </w:r>
      <w:r w:rsidRPr="007B3BB8">
        <w:t xml:space="preserve"> for a radically new sociotechnical imaginary. </w:t>
      </w:r>
    </w:p>
    <w:p w14:paraId="4F09683D" w14:textId="67FA3183" w:rsidR="00D15AFC" w:rsidRDefault="00AF252A" w:rsidP="00D15AFC">
      <w:pPr>
        <w:spacing w:line="480" w:lineRule="auto"/>
        <w:ind w:firstLine="720"/>
      </w:pPr>
      <w:r w:rsidRPr="007B3BB8">
        <w:t>By contrast, t</w:t>
      </w:r>
      <w:r w:rsidR="00C91A76" w:rsidRPr="007B3BB8">
        <w:t xml:space="preserve">he Indonesian father-son activists Hasan Poerbo and Onno Purbo relied less on physical vehicles to carry their imaginations and more on longstanding cultural </w:t>
      </w:r>
      <w:r w:rsidR="00C93404">
        <w:t>notions</w:t>
      </w:r>
      <w:r w:rsidR="00C91A76" w:rsidRPr="007B3BB8">
        <w:t xml:space="preserve"> of what connects people to people to form robust networks of concerted action.  </w:t>
      </w:r>
      <w:r w:rsidRPr="007B3BB8">
        <w:t xml:space="preserve">Muhammad Hatta and Hasan Poerbo, as described by Suzanne Moon, imagined Indonesian development in active opposition to the imaginary of New Order developmentalism espoused by President Suharto.  </w:t>
      </w:r>
      <w:r w:rsidR="00B474CC" w:rsidRPr="007B3BB8">
        <w:t xml:space="preserve">Overthrowing President Sukarno, modern Indonesia’s first leader, Suharto </w:t>
      </w:r>
      <w:r w:rsidRPr="007B3BB8">
        <w:t>grabbed</w:t>
      </w:r>
      <w:r w:rsidR="00B474CC" w:rsidRPr="007B3BB8">
        <w:t xml:space="preserve"> power in a bloodbath of anti-communist violence in which half a million people died.  He then enacted a vision of economic development that was patronage-dependent, dominated by large</w:t>
      </w:r>
      <w:r w:rsidR="00E87091">
        <w:t xml:space="preserve"> conglomerates, and </w:t>
      </w:r>
      <w:r w:rsidR="00E87091" w:rsidRPr="007B3BB8">
        <w:t>prefer</w:t>
      </w:r>
      <w:r w:rsidR="00E87091">
        <w:t>ring</w:t>
      </w:r>
      <w:r w:rsidR="00B474CC" w:rsidRPr="007B3BB8">
        <w:t xml:space="preserve"> centralized industrial policy over decentralized ag</w:t>
      </w:r>
      <w:r w:rsidR="00D15AFC">
        <w:t xml:space="preserve">ricultural production.  </w:t>
      </w:r>
      <w:r w:rsidR="00B474CC" w:rsidRPr="007B3BB8">
        <w:t xml:space="preserve">Against this controlling imaginary, the anti-colonial activist and revolutionary thinker Hatta </w:t>
      </w:r>
      <w:r w:rsidR="00DF1F49">
        <w:t>stood for</w:t>
      </w:r>
      <w:r w:rsidR="00B474CC" w:rsidRPr="007B3BB8">
        <w:t xml:space="preserve"> a model of Indonesian development that centered on cooperatives rather than conglomerates.  </w:t>
      </w:r>
    </w:p>
    <w:p w14:paraId="1D00F00C" w14:textId="56519DE7" w:rsidR="00B474CC" w:rsidRPr="007B3BB8" w:rsidRDefault="00D15AFC" w:rsidP="00D15AFC">
      <w:pPr>
        <w:spacing w:line="480" w:lineRule="auto"/>
        <w:ind w:firstLine="720"/>
      </w:pPr>
      <w:r>
        <w:t>Hatta’s</w:t>
      </w:r>
      <w:r w:rsidR="00B474CC" w:rsidRPr="007B3BB8">
        <w:t xml:space="preserve"> vision was </w:t>
      </w:r>
      <w:r w:rsidR="00AF252A" w:rsidRPr="007B3BB8">
        <w:t xml:space="preserve">both </w:t>
      </w:r>
      <w:r w:rsidR="00B474CC" w:rsidRPr="007B3BB8">
        <w:t>communitarian</w:t>
      </w:r>
      <w:r w:rsidR="00AF252A" w:rsidRPr="007B3BB8">
        <w:t xml:space="preserve"> and utopian</w:t>
      </w:r>
      <w:r w:rsidR="00B474CC" w:rsidRPr="007B3BB8">
        <w:t xml:space="preserve">: an understanding of the nation as a family, realizing its potential through participatory self-governance and initiative (“swakarya”).  The contrast between Hatta </w:t>
      </w:r>
      <w:r>
        <w:t xml:space="preserve">and Indonesia’s first two presidents </w:t>
      </w:r>
      <w:r w:rsidR="00B474CC" w:rsidRPr="007B3BB8">
        <w:t xml:space="preserve">underscores a point not sufficiently obvious from Anderson’s </w:t>
      </w:r>
      <w:r w:rsidR="00A12D10">
        <w:t>theorization</w:t>
      </w:r>
      <w:r w:rsidR="00B474CC" w:rsidRPr="007B3BB8">
        <w:t xml:space="preserve"> of nationalism: that the imagination which binds nations together rest</w:t>
      </w:r>
      <w:r w:rsidR="00A12D10">
        <w:t>s</w:t>
      </w:r>
      <w:r w:rsidR="00B474CC" w:rsidRPr="007B3BB8">
        <w:t xml:space="preserve"> in turn on normative, culturally conditioned ideals of solidarity, </w:t>
      </w:r>
      <w:r w:rsidR="00AF252A" w:rsidRPr="007B3BB8">
        <w:t>permitting</w:t>
      </w:r>
      <w:r w:rsidR="00B474CC" w:rsidRPr="007B3BB8">
        <w:t xml:space="preserve"> multiple “nationalisms” </w:t>
      </w:r>
      <w:r>
        <w:t xml:space="preserve">to coexist </w:t>
      </w:r>
      <w:r w:rsidR="00B474CC" w:rsidRPr="007B3BB8">
        <w:t xml:space="preserve">within a single nation.  Which nationalism governs is then itself a </w:t>
      </w:r>
      <w:r w:rsidR="00A12D10">
        <w:t xml:space="preserve">prime </w:t>
      </w:r>
      <w:r w:rsidR="00B474CC" w:rsidRPr="007B3BB8">
        <w:t>matter of contestation</w:t>
      </w:r>
      <w:r w:rsidR="00A12D10">
        <w:t xml:space="preserve">, as </w:t>
      </w:r>
      <w:r w:rsidR="00A12D10">
        <w:lastRenderedPageBreak/>
        <w:t>borne out in early twenty-first century electoral conflicts all over the world</w:t>
      </w:r>
      <w:r w:rsidR="00B474CC" w:rsidRPr="007B3BB8">
        <w:t xml:space="preserve">.  While industrialization was not central to Hatta’s project, Moon suggests that his imaginary was sociotechnical in its emphasis on infrastructures that would advance social cohesiveness as well as economic production.  Hatta advocated development from the bottom up, through self-help and concern for others in linked, small-scale projects.   </w:t>
      </w:r>
    </w:p>
    <w:p w14:paraId="4805B18F" w14:textId="5A95ADA5" w:rsidR="00B474CC" w:rsidRPr="007B3BB8" w:rsidRDefault="00B474CC" w:rsidP="00B474CC">
      <w:pPr>
        <w:spacing w:line="480" w:lineRule="auto"/>
        <w:ind w:firstLine="720"/>
      </w:pPr>
      <w:r w:rsidRPr="007B3BB8">
        <w:t xml:space="preserve">It fell to the architect Hasan Poerbo to realize Hatta’s imaginary in a project for mass housing.  Though specific connections between the two men are hard to document, Moon finds </w:t>
      </w:r>
      <w:r w:rsidR="00AF252A" w:rsidRPr="007B3BB8">
        <w:t>persuasive</w:t>
      </w:r>
      <w:r w:rsidRPr="007B3BB8">
        <w:t xml:space="preserve"> </w:t>
      </w:r>
      <w:r w:rsidR="00D15AFC">
        <w:t>convergences</w:t>
      </w:r>
      <w:r w:rsidRPr="007B3BB8">
        <w:t xml:space="preserve"> in their thinking.  Poerbo saw mass housing as a sociotechnical project that was also an alternative mode of building Indonesia’s future, relying, as Hatta had favored, on cooperatives and substituting communitarian “people-mindedness” for an industrialized “efficiency-mindedness.”  Instead of drawing on networks of patronage radiating out from Jakarta, Poerbo’s project aimed to capitalize on widely distributed artisanal skills and traditional knowledge of residential construction throughout the nation.  In the lineage from Hatta to Poerbo, then, Moon finds a resilient counter-articulation of </w:t>
      </w:r>
      <w:r w:rsidR="00D15AFC">
        <w:t>an</w:t>
      </w:r>
      <w:r w:rsidRPr="007B3BB8">
        <w:t xml:space="preserve"> Indonesian imagined community, one that is both social and technological, yet one </w:t>
      </w:r>
      <w:r w:rsidR="004E22D4" w:rsidRPr="007B3BB8">
        <w:t>that relies</w:t>
      </w:r>
      <w:r w:rsidRPr="007B3BB8">
        <w:t xml:space="preserve"> on an utterly different networking of knowledge, skills, and communal values from the New Order put in place by Suharto. </w:t>
      </w:r>
    </w:p>
    <w:p w14:paraId="1D799371" w14:textId="77777777" w:rsidR="00B474CC" w:rsidRPr="007B3BB8" w:rsidRDefault="00B474CC" w:rsidP="00B474CC">
      <w:pPr>
        <w:spacing w:line="480" w:lineRule="auto"/>
        <w:ind w:firstLine="720"/>
      </w:pPr>
      <w:r w:rsidRPr="007B3BB8">
        <w:t>Joshua Barker’s story of the founding of the Indonesian Internet likewise illustrates the force of an imaginary shaped outside the structures of state power and integrating technological capacities with a self-conscious “politics of freedom.”  The originator of this vision, Onno Purbo (Hasan Poerbo’s son), conceives of the Internet</w:t>
      </w:r>
      <w:r w:rsidR="004E22D4" w:rsidRPr="007B3BB8">
        <w:t>,</w:t>
      </w:r>
      <w:r w:rsidRPr="007B3BB8">
        <w:t xml:space="preserve"> while studying in Canada</w:t>
      </w:r>
      <w:r w:rsidR="004E22D4" w:rsidRPr="007B3BB8">
        <w:t>,</w:t>
      </w:r>
      <w:r w:rsidRPr="007B3BB8">
        <w:t xml:space="preserve"> as a counterpoise to the top-down, state controlled development of satellite communications by </w:t>
      </w:r>
      <w:r w:rsidR="004E22D4" w:rsidRPr="007B3BB8">
        <w:t xml:space="preserve">the </w:t>
      </w:r>
      <w:r w:rsidRPr="007B3BB8">
        <w:t>Suharto</w:t>
      </w:r>
      <w:r w:rsidR="007B3BB8">
        <w:t xml:space="preserve"> </w:t>
      </w:r>
      <w:r w:rsidR="00FB079A">
        <w:t>regime</w:t>
      </w:r>
      <w:r w:rsidRPr="007B3BB8">
        <w:t xml:space="preserve">.  </w:t>
      </w:r>
      <w:r w:rsidRPr="007B3BB8">
        <w:rPr>
          <w:i/>
        </w:rPr>
        <w:t>That</w:t>
      </w:r>
      <w:r w:rsidRPr="007B3BB8">
        <w:t xml:space="preserve"> system, based on </w:t>
      </w:r>
      <w:r w:rsidRPr="007B3BB8">
        <w:lastRenderedPageBreak/>
        <w:t>the Javanese oath of kingship (“Palapa”), after which it was named, corresponds more closely to Anderson’s analysis of nationalism as a communal bond enforced through centralized control of thought and communication by capital and the state.  Key to Purbo’s thinking, by contrast, is the dispersed character of the Internet, enabling communication between one and many and uniting people across geographical space as well as across time.  The network within Indonesia, Purbo wrote, should resemble the network that already connected Indonesian students living abroad, but in a community imagined as both national and anti-despotic.  This oppositional vision of an emerging technological system il</w:t>
      </w:r>
      <w:r w:rsidR="00E12BBF">
        <w:t>lustrates at once the phenomena</w:t>
      </w:r>
      <w:r w:rsidRPr="007B3BB8">
        <w:t xml:space="preserve"> of extension, in its borrowing of experiences from other points of origin, and of resistance, in the local rearticulation of those distant visions to fight realities on the ground.</w:t>
      </w:r>
    </w:p>
    <w:p w14:paraId="5C1A1D62" w14:textId="32C30A32" w:rsidR="00B474CC" w:rsidRPr="007B3BB8" w:rsidRDefault="004E22D4" w:rsidP="00B474CC">
      <w:pPr>
        <w:spacing w:line="480" w:lineRule="auto"/>
        <w:ind w:firstLine="720"/>
      </w:pPr>
      <w:r w:rsidRPr="007B3BB8">
        <w:t>Notably,</w:t>
      </w:r>
      <w:r w:rsidR="00B474CC" w:rsidRPr="007B3BB8">
        <w:t xml:space="preserve"> the tactics Purbo uses to bring his model of the Indonesian Internet into being are those of the political organizer rather than the engineer of physical interfaces.  He and his associates see themselves (in their own terms) </w:t>
      </w:r>
      <w:r w:rsidRPr="007B3BB8">
        <w:t xml:space="preserve">as </w:t>
      </w:r>
      <w:r w:rsidR="00B474CC" w:rsidRPr="007B3BB8">
        <w:t>guerilla warriors, build</w:t>
      </w:r>
      <w:r w:rsidRPr="007B3BB8">
        <w:t>ing</w:t>
      </w:r>
      <w:r w:rsidR="00B474CC" w:rsidRPr="007B3BB8">
        <w:t xml:space="preserve"> a freedom movement from within.  Minds must be persuaded and hearts won over, in addition to expertise </w:t>
      </w:r>
      <w:r w:rsidRPr="007B3BB8">
        <w:t xml:space="preserve">and infrastructure </w:t>
      </w:r>
      <w:r w:rsidR="00B474CC" w:rsidRPr="007B3BB8">
        <w:t>being built.  Much effort is therefore expended on teaching a</w:t>
      </w:r>
      <w:r w:rsidR="003B720B">
        <w:t>nd training a widening network (</w:t>
      </w:r>
      <w:r w:rsidR="00E12BBF">
        <w:t>work never undertaken in Kagame’s Rwanda</w:t>
      </w:r>
      <w:r w:rsidR="003B720B">
        <w:t xml:space="preserve"> with its fractured civil society)</w:t>
      </w:r>
      <w:r w:rsidR="00E12BBF">
        <w:t xml:space="preserve"> </w:t>
      </w:r>
      <w:r w:rsidR="00B474CC" w:rsidRPr="007B3BB8">
        <w:t xml:space="preserve">and on speeches and rallies </w:t>
      </w:r>
      <w:r w:rsidRPr="007B3BB8">
        <w:t>to form</w:t>
      </w:r>
      <w:r w:rsidR="00B474CC" w:rsidRPr="007B3BB8">
        <w:t xml:space="preserve"> a “counter-public” that in time grows strong enough to influence state policy.  On display here are the classic dynamics of co-production, with talented actors using </w:t>
      </w:r>
      <w:r w:rsidR="00DF002F" w:rsidRPr="007B3BB8">
        <w:t>social levers</w:t>
      </w:r>
      <w:r w:rsidR="00B474CC" w:rsidRPr="007B3BB8">
        <w:t xml:space="preserve"> to reconfigure the technological: an ethos (freedom), a set of social identities (guerillas, liberationists), an understanding of what the Internet is (a commons), and aspects of the Internet’s design </w:t>
      </w:r>
      <w:r w:rsidR="00B474CC" w:rsidRPr="007B3BB8">
        <w:lastRenderedPageBreak/>
        <w:t>(accessibility) are produced in a single transformative process of enacting a new sociotechnical imaginary.</w:t>
      </w:r>
    </w:p>
    <w:p w14:paraId="70E60F71" w14:textId="77777777" w:rsidR="002C78AE" w:rsidRPr="007B3BB8" w:rsidRDefault="002C78AE" w:rsidP="00DF002F">
      <w:pPr>
        <w:spacing w:before="120" w:line="480" w:lineRule="auto"/>
      </w:pPr>
      <w:r w:rsidRPr="007B3BB8">
        <w:rPr>
          <w:b/>
        </w:rPr>
        <w:t>Extension</w:t>
      </w:r>
    </w:p>
    <w:p w14:paraId="44EB4FE5" w14:textId="2B97C19E" w:rsidR="00B92F08" w:rsidRPr="007B3BB8" w:rsidRDefault="00216A9D" w:rsidP="00B474CC">
      <w:pPr>
        <w:spacing w:line="480" w:lineRule="auto"/>
        <w:ind w:firstLine="720"/>
      </w:pPr>
      <w:r w:rsidRPr="007B3BB8">
        <w:t xml:space="preserve">In </w:t>
      </w:r>
      <w:r w:rsidR="00DF002F" w:rsidRPr="007B3BB8">
        <w:t>an</w:t>
      </w:r>
      <w:r w:rsidRPr="007B3BB8">
        <w:t xml:space="preserve"> early article</w:t>
      </w:r>
      <w:r w:rsidR="00FB0BCA" w:rsidRPr="007B3BB8">
        <w:t>,</w:t>
      </w:r>
      <w:r w:rsidRPr="007B3BB8">
        <w:t xml:space="preserve"> B</w:t>
      </w:r>
      <w:r w:rsidR="00597B2E" w:rsidRPr="007B3BB8">
        <w:t>runo Latour (1990</w:t>
      </w:r>
      <w:r w:rsidRPr="007B3BB8">
        <w:t>) offered an in</w:t>
      </w:r>
      <w:r w:rsidR="0052151C" w:rsidRPr="007B3BB8">
        <w:t>fluential account of how scientific knowledge becomes universal</w:t>
      </w:r>
      <w:r w:rsidR="0081360A" w:rsidRPr="007B3BB8">
        <w:t>.  His explanation</w:t>
      </w:r>
      <w:r w:rsidR="0052151C" w:rsidRPr="007B3BB8">
        <w:t xml:space="preserve"> centered on the moves by which localized observations are </w:t>
      </w:r>
      <w:r w:rsidR="00273471" w:rsidRPr="007B3BB8">
        <w:t>converted</w:t>
      </w:r>
      <w:r w:rsidR="0052151C" w:rsidRPr="007B3BB8">
        <w:t xml:space="preserve"> into readable representations, or inscriptions, that </w:t>
      </w:r>
      <w:r w:rsidR="0081360A" w:rsidRPr="007B3BB8">
        <w:t>in turn are</w:t>
      </w:r>
      <w:r w:rsidR="0052151C" w:rsidRPr="007B3BB8">
        <w:t xml:space="preserve"> disseminated by centers of calculation, perhaps better </w:t>
      </w:r>
      <w:r w:rsidR="0081360A" w:rsidRPr="007B3BB8">
        <w:t>conceptualized</w:t>
      </w:r>
      <w:r w:rsidR="0052151C" w:rsidRPr="007B3BB8">
        <w:t xml:space="preserve"> as centers of </w:t>
      </w:r>
      <w:r w:rsidR="006C02EB" w:rsidRPr="007B3BB8">
        <w:t xml:space="preserve">power, </w:t>
      </w:r>
      <w:r w:rsidR="0081360A" w:rsidRPr="007B3BB8">
        <w:t>discipline</w:t>
      </w:r>
      <w:r w:rsidR="006C02EB" w:rsidRPr="007B3BB8">
        <w:t>,</w:t>
      </w:r>
      <w:r w:rsidR="0081360A" w:rsidRPr="007B3BB8">
        <w:t xml:space="preserve"> and </w:t>
      </w:r>
      <w:r w:rsidR="0052151C" w:rsidRPr="007B3BB8">
        <w:t>control</w:t>
      </w:r>
      <w:r w:rsidR="00E12BBF">
        <w:t xml:space="preserve"> (see introduction)</w:t>
      </w:r>
      <w:r w:rsidR="0052151C" w:rsidRPr="007B3BB8">
        <w:t xml:space="preserve">.  Many of today’s welter of portable knowledge claims, especially those rendered in graphic, quantified or cartographic forms, </w:t>
      </w:r>
      <w:r w:rsidR="0085489F">
        <w:t xml:space="preserve">seem on the surface to </w:t>
      </w:r>
      <w:r w:rsidR="0052151C" w:rsidRPr="007B3BB8">
        <w:t xml:space="preserve">conform </w:t>
      </w:r>
      <w:r w:rsidR="00DF002F" w:rsidRPr="007B3BB8">
        <w:t xml:space="preserve">well </w:t>
      </w:r>
      <w:r w:rsidR="0052151C" w:rsidRPr="007B3BB8">
        <w:t xml:space="preserve">to </w:t>
      </w:r>
      <w:r w:rsidR="005E4F1D" w:rsidRPr="007B3BB8">
        <w:t>Latour’s</w:t>
      </w:r>
      <w:r w:rsidR="0052151C" w:rsidRPr="007B3BB8">
        <w:t xml:space="preserve"> analysis—</w:t>
      </w:r>
      <w:r w:rsidR="005E4F1D" w:rsidRPr="007B3BB8">
        <w:t>al</w:t>
      </w:r>
      <w:r w:rsidR="0052151C" w:rsidRPr="007B3BB8">
        <w:t>though</w:t>
      </w:r>
      <w:r w:rsidR="00755C27" w:rsidRPr="007B3BB8">
        <w:t xml:space="preserve">, as two decades of climate change controversy </w:t>
      </w:r>
      <w:r w:rsidR="006C02EB" w:rsidRPr="007B3BB8">
        <w:t>illustrate</w:t>
      </w:r>
      <w:r w:rsidR="00755C27" w:rsidRPr="007B3BB8">
        <w:t>,</w:t>
      </w:r>
      <w:r w:rsidR="0052151C" w:rsidRPr="007B3BB8">
        <w:t xml:space="preserve"> even </w:t>
      </w:r>
      <w:r w:rsidR="005E4F1D" w:rsidRPr="007B3BB8">
        <w:t xml:space="preserve">the most </w:t>
      </w:r>
      <w:r w:rsidR="00DD4E27" w:rsidRPr="007B3BB8">
        <w:t>carefully constructed</w:t>
      </w:r>
      <w:r w:rsidR="0052151C" w:rsidRPr="007B3BB8">
        <w:t xml:space="preserve"> representations may </w:t>
      </w:r>
      <w:r w:rsidR="006C02EB" w:rsidRPr="007B3BB8">
        <w:t>encounter</w:t>
      </w:r>
      <w:r w:rsidR="00DF002F" w:rsidRPr="007B3BB8">
        <w:t xml:space="preserve"> unexpected friction and resistance</w:t>
      </w:r>
      <w:r w:rsidR="0052151C" w:rsidRPr="007B3BB8">
        <w:t xml:space="preserve"> </w:t>
      </w:r>
      <w:r w:rsidR="005E4F1D" w:rsidRPr="007B3BB8">
        <w:t>when</w:t>
      </w:r>
      <w:r w:rsidR="0052151C" w:rsidRPr="007B3BB8">
        <w:t xml:space="preserve"> they travel</w:t>
      </w:r>
      <w:r w:rsidR="00755C27" w:rsidRPr="007B3BB8">
        <w:t xml:space="preserve"> (Jasanoff and Wynne 1996</w:t>
      </w:r>
      <w:r w:rsidR="00FC5057" w:rsidRPr="007B3BB8">
        <w:t>; Mahon</w:t>
      </w:r>
      <w:r w:rsidR="00DF002F" w:rsidRPr="007B3BB8">
        <w:t>y 2014</w:t>
      </w:r>
      <w:r w:rsidR="00755C27" w:rsidRPr="007B3BB8">
        <w:t>)</w:t>
      </w:r>
      <w:r w:rsidR="0052151C" w:rsidRPr="007B3BB8">
        <w:t>.</w:t>
      </w:r>
      <w:r w:rsidR="00B6532C" w:rsidRPr="007B3BB8">
        <w:t xml:space="preserve">  Work on imaginaries, however, suggests a</w:t>
      </w:r>
      <w:r w:rsidR="00E2071A">
        <w:t xml:space="preserve"> fundamentally different</w:t>
      </w:r>
      <w:r w:rsidR="00B6532C" w:rsidRPr="007B3BB8">
        <w:t xml:space="preserve"> explanation for how scientific</w:t>
      </w:r>
      <w:r w:rsidR="007A6249" w:rsidRPr="007B3BB8">
        <w:t xml:space="preserve"> and technological</w:t>
      </w:r>
      <w:r w:rsidR="00B6532C" w:rsidRPr="007B3BB8">
        <w:t xml:space="preserve"> ideas acquire </w:t>
      </w:r>
      <w:r w:rsidR="00A93A35" w:rsidRPr="007B3BB8">
        <w:t>dominion</w:t>
      </w:r>
      <w:r w:rsidR="00B6532C" w:rsidRPr="007B3BB8">
        <w:t xml:space="preserve"> over time and </w:t>
      </w:r>
      <w:r w:rsidR="005E4F1D" w:rsidRPr="007B3BB8">
        <w:t>territory</w:t>
      </w:r>
      <w:r w:rsidR="00B6532C" w:rsidRPr="007B3BB8">
        <w:t>.</w:t>
      </w:r>
      <w:r w:rsidR="007A6249" w:rsidRPr="007B3BB8">
        <w:t xml:space="preserve">  This</w:t>
      </w:r>
      <w:r w:rsidR="004B3AC9" w:rsidRPr="007B3BB8">
        <w:t xml:space="preserve"> dynamic works not through </w:t>
      </w:r>
      <w:r w:rsidR="00E2071A">
        <w:t xml:space="preserve">the </w:t>
      </w:r>
      <w:r w:rsidR="004B3AC9" w:rsidRPr="007B3BB8">
        <w:t>frictionless mobility and erasure</w:t>
      </w:r>
      <w:r w:rsidR="00DF69F4" w:rsidRPr="007B3BB8">
        <w:t>s</w:t>
      </w:r>
      <w:r w:rsidR="004B3AC9" w:rsidRPr="007B3BB8">
        <w:t xml:space="preserve"> of context </w:t>
      </w:r>
      <w:r w:rsidR="006C02EB" w:rsidRPr="007B3BB8">
        <w:t xml:space="preserve">that </w:t>
      </w:r>
      <w:r w:rsidR="00FC5057" w:rsidRPr="007B3BB8">
        <w:t>black-box</w:t>
      </w:r>
      <w:r w:rsidR="006C02EB" w:rsidRPr="007B3BB8">
        <w:t xml:space="preserve"> scientific facts</w:t>
      </w:r>
      <w:r w:rsidR="00E12BBF">
        <w:t xml:space="preserve"> or technological systems</w:t>
      </w:r>
      <w:r w:rsidR="00FC5057" w:rsidRPr="007B3BB8">
        <w:t>,</w:t>
      </w:r>
      <w:r w:rsidR="006C02EB" w:rsidRPr="007B3BB8">
        <w:t xml:space="preserve"> </w:t>
      </w:r>
      <w:r w:rsidR="004B3AC9" w:rsidRPr="007B3BB8">
        <w:t xml:space="preserve">but rather through the </w:t>
      </w:r>
      <w:r w:rsidR="00171936" w:rsidRPr="007B3BB8">
        <w:t xml:space="preserve">global circulation of already powerful </w:t>
      </w:r>
      <w:r w:rsidR="00DF69F4" w:rsidRPr="007B3BB8">
        <w:t xml:space="preserve">sociotechnical </w:t>
      </w:r>
      <w:r w:rsidR="00171936" w:rsidRPr="007B3BB8">
        <w:t xml:space="preserve">imaginaries—such as those of </w:t>
      </w:r>
      <w:r w:rsidR="003025C9" w:rsidRPr="007B3BB8">
        <w:t>the endless scientific frontier</w:t>
      </w:r>
      <w:r w:rsidR="0085489F">
        <w:t>,</w:t>
      </w:r>
      <w:r w:rsidR="003025C9" w:rsidRPr="007B3BB8">
        <w:t xml:space="preserve"> innovation-driven progress</w:t>
      </w:r>
      <w:r w:rsidR="0085489F">
        <w:t>, or global health crisis</w:t>
      </w:r>
      <w:r w:rsidR="00DF69F4" w:rsidRPr="007B3BB8">
        <w:t xml:space="preserve">—which are then re-embedded into local constellations of </w:t>
      </w:r>
      <w:r w:rsidR="00E12BBF">
        <w:t>production</w:t>
      </w:r>
      <w:r w:rsidR="00DF69F4" w:rsidRPr="007B3BB8">
        <w:t xml:space="preserve"> and practice</w:t>
      </w:r>
      <w:r w:rsidR="004B3AC9" w:rsidRPr="007B3BB8">
        <w:t>.</w:t>
      </w:r>
      <w:r w:rsidR="00E2071A">
        <w:t xml:space="preserve">  Imaginaries, unlike Latour’s notion of circulation, are symmetrical with respect to the production and reception of ideas and artifacts; </w:t>
      </w:r>
      <w:r w:rsidR="0085489F">
        <w:t xml:space="preserve">scientific and technological ideas, in short, are produced together with ideas </w:t>
      </w:r>
      <w:r w:rsidR="0085489F">
        <w:lastRenderedPageBreak/>
        <w:t>about science and technology.  Sociotechnical imaginaries</w:t>
      </w:r>
      <w:r w:rsidR="00E2071A">
        <w:t xml:space="preserve"> belong in this respect to the framework of co-production developed in </w:t>
      </w:r>
      <w:r w:rsidR="00E2071A" w:rsidRPr="00E2071A">
        <w:rPr>
          <w:i/>
        </w:rPr>
        <w:t>States of Knowledge</w:t>
      </w:r>
      <w:r w:rsidR="00E2071A">
        <w:t xml:space="preserve"> (Jasanoff 2004).</w:t>
      </w:r>
    </w:p>
    <w:p w14:paraId="1264E91F" w14:textId="353EB8CB" w:rsidR="003025C9" w:rsidRPr="007B3BB8" w:rsidRDefault="00DF69F4" w:rsidP="00CD331C">
      <w:pPr>
        <w:spacing w:line="480" w:lineRule="auto"/>
        <w:ind w:firstLine="720"/>
      </w:pPr>
      <w:r w:rsidRPr="007B3BB8">
        <w:t xml:space="preserve">This </w:t>
      </w:r>
      <w:r w:rsidR="006C02EB" w:rsidRPr="007B3BB8">
        <w:t xml:space="preserve">more </w:t>
      </w:r>
      <w:r w:rsidRPr="007B3BB8">
        <w:t>complex circulation depends, as many of th</w:t>
      </w:r>
      <w:r w:rsidR="00056267" w:rsidRPr="007B3BB8">
        <w:t>is volume’s contributions</w:t>
      </w:r>
      <w:r w:rsidRPr="007B3BB8">
        <w:t xml:space="preserve"> demonstrate, on translation agents </w:t>
      </w:r>
      <w:r w:rsidR="002C1875" w:rsidRPr="007B3BB8">
        <w:t xml:space="preserve">who are </w:t>
      </w:r>
      <w:r w:rsidRPr="007B3BB8">
        <w:t xml:space="preserve">capable of moving imaginaries from one sociopolitical setting to another.  </w:t>
      </w:r>
      <w:r w:rsidR="00FD0B53" w:rsidRPr="007B3BB8">
        <w:t xml:space="preserve">Cecil Rhodes imports a remembrance of </w:t>
      </w:r>
      <w:r w:rsidR="00AC7146" w:rsidRPr="007B3BB8">
        <w:t>rural England into South Africa</w:t>
      </w:r>
      <w:r w:rsidR="003B720B">
        <w:t xml:space="preserve"> and couples that with ideas of British rule</w:t>
      </w:r>
      <w:r w:rsidR="00AC7146" w:rsidRPr="007B3BB8">
        <w:t xml:space="preserve">, </w:t>
      </w:r>
      <w:r w:rsidR="003B720B">
        <w:t xml:space="preserve">eventually </w:t>
      </w:r>
      <w:r w:rsidR="00AC7146" w:rsidRPr="007B3BB8">
        <w:t xml:space="preserve">inscribing lines of </w:t>
      </w:r>
      <w:r w:rsidR="002C1875" w:rsidRPr="007B3BB8">
        <w:t>division between industry and agriculture</w:t>
      </w:r>
      <w:r w:rsidR="003B720B">
        <w:t>, and rulers and ruled,</w:t>
      </w:r>
      <w:r w:rsidR="00AC7146" w:rsidRPr="007B3BB8">
        <w:t xml:space="preserve"> </w:t>
      </w:r>
      <w:r w:rsidR="00FF3C96" w:rsidRPr="007B3BB8">
        <w:t>on a foreign landscape</w:t>
      </w:r>
      <w:r w:rsidR="00AC7146" w:rsidRPr="007B3BB8">
        <w:t xml:space="preserve">.  </w:t>
      </w:r>
      <w:r w:rsidRPr="007B3BB8">
        <w:t>Paul Kagame launches his information technology policies in Rwanda with an eye to</w:t>
      </w:r>
      <w:r w:rsidR="004875AF" w:rsidRPr="007B3BB8">
        <w:t>ward</w:t>
      </w:r>
      <w:r w:rsidRPr="007B3BB8">
        <w:t xml:space="preserve"> Singapore, hoping that his East African nation </w:t>
      </w:r>
      <w:r w:rsidR="002E0057" w:rsidRPr="007B3BB8">
        <w:t>will</w:t>
      </w:r>
      <w:r w:rsidRPr="007B3BB8">
        <w:t xml:space="preserve"> </w:t>
      </w:r>
      <w:r w:rsidR="0034719B">
        <w:t>take off</w:t>
      </w:r>
      <w:r w:rsidRPr="007B3BB8">
        <w:t xml:space="preserve"> like the flying geese of </w:t>
      </w:r>
      <w:r w:rsidR="002C1875" w:rsidRPr="007B3BB8">
        <w:t>a</w:t>
      </w:r>
      <w:r w:rsidR="006C02EB" w:rsidRPr="007B3BB8">
        <w:t>nother</w:t>
      </w:r>
      <w:r w:rsidRPr="007B3BB8">
        <w:t xml:space="preserve"> continent.</w:t>
      </w:r>
      <w:r w:rsidR="004875AF" w:rsidRPr="007B3BB8">
        <w:t xml:space="preserve">  Onno Purbo, in Joshua Barker’s </w:t>
      </w:r>
      <w:r w:rsidR="00056267" w:rsidRPr="007B3BB8">
        <w:t>telling</w:t>
      </w:r>
      <w:r w:rsidR="0034719B">
        <w:t>,</w:t>
      </w:r>
      <w:r w:rsidR="004875AF" w:rsidRPr="007B3BB8">
        <w:t xml:space="preserve"> </w:t>
      </w:r>
      <w:r w:rsidR="00DC2B76" w:rsidRPr="007B3BB8">
        <w:t>accentuates</w:t>
      </w:r>
      <w:r w:rsidR="005231C5" w:rsidRPr="007B3BB8">
        <w:t xml:space="preserve"> with specifically Indonesian </w:t>
      </w:r>
      <w:r w:rsidR="005231C5">
        <w:t>overtones</w:t>
      </w:r>
      <w:r w:rsidR="00B015A3" w:rsidRPr="007B3BB8">
        <w:t xml:space="preserve"> the discourse of liberation associated with the early years of cyberspace.  The imaginary constructed by Purbo and his colleagues, Barker says, “was an extension of a globalizing rhetoric about the Internet commons, but it was also inflected by the specific history of technology and nationalism in Indonesia.”</w:t>
      </w:r>
      <w:r w:rsidR="002E0057" w:rsidRPr="007B3BB8">
        <w:t xml:space="preserve">  Extension, in other words, calls for a situated re-embedding in order for translated imaginaries to take root </w:t>
      </w:r>
      <w:r w:rsidR="00056267" w:rsidRPr="007B3BB8">
        <w:t xml:space="preserve">and flourish </w:t>
      </w:r>
      <w:r w:rsidR="002E0057" w:rsidRPr="007B3BB8">
        <w:t>in new soil.</w:t>
      </w:r>
      <w:r w:rsidR="008E7032" w:rsidRPr="007B3BB8">
        <w:t xml:space="preserve"> </w:t>
      </w:r>
    </w:p>
    <w:p w14:paraId="44501770" w14:textId="45E20977" w:rsidR="000C3F68" w:rsidRPr="007B3BB8" w:rsidRDefault="00EA2689" w:rsidP="00CD331C">
      <w:pPr>
        <w:spacing w:line="480" w:lineRule="auto"/>
        <w:ind w:firstLine="720"/>
      </w:pPr>
      <w:r>
        <w:t>Though individual</w:t>
      </w:r>
      <w:r w:rsidR="00EC01FA" w:rsidRPr="007B3BB8">
        <w:t>s matter</w:t>
      </w:r>
      <w:r>
        <w:t xml:space="preserve"> (as also in classic accounts of actor-network theory)</w:t>
      </w:r>
      <w:r w:rsidR="00EC01FA" w:rsidRPr="007B3BB8">
        <w:t>,</w:t>
      </w:r>
      <w:r w:rsidR="00CE37ED" w:rsidRPr="007B3BB8">
        <w:t xml:space="preserve"> unsurprisingly it is</w:t>
      </w:r>
      <w:r w:rsidR="00EC01FA" w:rsidRPr="007B3BB8">
        <w:t xml:space="preserve"> </w:t>
      </w:r>
      <w:r w:rsidR="00A0778C" w:rsidRPr="007B3BB8">
        <w:t xml:space="preserve">institutions of governance </w:t>
      </w:r>
      <w:r w:rsidR="00CE37ED" w:rsidRPr="007B3BB8">
        <w:t xml:space="preserve">that </w:t>
      </w:r>
      <w:r w:rsidR="00A0778C" w:rsidRPr="007B3BB8">
        <w:t>operate as</w:t>
      </w:r>
      <w:r w:rsidR="00DC2B76" w:rsidRPr="007B3BB8">
        <w:t xml:space="preserve"> some of</w:t>
      </w:r>
      <w:r w:rsidR="00A0778C" w:rsidRPr="007B3BB8">
        <w:t xml:space="preserve"> </w:t>
      </w:r>
      <w:r w:rsidR="00EC01FA" w:rsidRPr="007B3BB8">
        <w:t xml:space="preserve">the most </w:t>
      </w:r>
      <w:r w:rsidR="00CE37ED" w:rsidRPr="007B3BB8">
        <w:t>effective</w:t>
      </w:r>
      <w:r w:rsidR="00EC01FA" w:rsidRPr="007B3BB8">
        <w:t xml:space="preserve"> </w:t>
      </w:r>
      <w:r w:rsidR="00A0778C" w:rsidRPr="007B3BB8">
        <w:t xml:space="preserve">agents of </w:t>
      </w:r>
      <w:r w:rsidR="00056267" w:rsidRPr="007B3BB8">
        <w:t>extension</w:t>
      </w:r>
      <w:r w:rsidR="00A0778C" w:rsidRPr="007B3BB8">
        <w:t xml:space="preserve">. </w:t>
      </w:r>
      <w:r w:rsidR="00CE37ED" w:rsidRPr="007B3BB8">
        <w:t xml:space="preserve"> Institutions already have jurisdiction, that is, </w:t>
      </w:r>
      <w:r w:rsidR="0034719B">
        <w:t xml:space="preserve">they </w:t>
      </w:r>
      <w:r w:rsidR="00DC2B76" w:rsidRPr="007B3BB8">
        <w:t xml:space="preserve">control </w:t>
      </w:r>
      <w:r w:rsidR="00056267" w:rsidRPr="007B3BB8">
        <w:t>well-</w:t>
      </w:r>
      <w:r w:rsidR="00CE37ED" w:rsidRPr="007B3BB8">
        <w:t xml:space="preserve">demarcated tracts </w:t>
      </w:r>
      <w:r w:rsidR="009C664B" w:rsidRPr="007B3BB8">
        <w:t xml:space="preserve">of physical or virtual territory </w:t>
      </w:r>
      <w:r w:rsidR="00DC2B76" w:rsidRPr="007B3BB8">
        <w:t>in</w:t>
      </w:r>
      <w:r w:rsidR="00CE37ED" w:rsidRPr="007B3BB8">
        <w:t xml:space="preserve"> which they exercise authority and </w:t>
      </w:r>
      <w:r w:rsidR="00056267" w:rsidRPr="007B3BB8">
        <w:t>implement</w:t>
      </w:r>
      <w:r w:rsidR="00CE37ED" w:rsidRPr="007B3BB8">
        <w:t xml:space="preserve"> the rules of the game.  In the modern world, moreover, </w:t>
      </w:r>
      <w:r w:rsidR="00DC596E" w:rsidRPr="007B3BB8">
        <w:t>few</w:t>
      </w:r>
      <w:r w:rsidR="001336E8" w:rsidRPr="007B3BB8">
        <w:t xml:space="preserve"> </w:t>
      </w:r>
      <w:r w:rsidR="00CE37ED" w:rsidRPr="007B3BB8">
        <w:t xml:space="preserve">institutions fulfill their </w:t>
      </w:r>
      <w:r w:rsidR="009C664B" w:rsidRPr="007B3BB8">
        <w:t xml:space="preserve">jurisdictional </w:t>
      </w:r>
      <w:r w:rsidR="00CE37ED" w:rsidRPr="007B3BB8">
        <w:t xml:space="preserve">functions </w:t>
      </w:r>
      <w:r w:rsidR="00DC596E" w:rsidRPr="007B3BB8">
        <w:t xml:space="preserve">without recourse to science and technology; institutional </w:t>
      </w:r>
      <w:r w:rsidR="00DC596E" w:rsidRPr="007B3BB8">
        <w:lastRenderedPageBreak/>
        <w:t xml:space="preserve">imaginaries often come with technological promises and perils </w:t>
      </w:r>
      <w:r w:rsidR="001336E8" w:rsidRPr="007B3BB8">
        <w:t xml:space="preserve">built </w:t>
      </w:r>
      <w:r w:rsidR="00DC596E" w:rsidRPr="007B3BB8">
        <w:t>right in</w:t>
      </w:r>
      <w:r w:rsidR="00271EAD" w:rsidRPr="007B3BB8">
        <w:t xml:space="preserve"> (see </w:t>
      </w:r>
      <w:r w:rsidR="0057154C">
        <w:t xml:space="preserve">Burri, </w:t>
      </w:r>
      <w:r w:rsidR="00056267" w:rsidRPr="007B3BB8">
        <w:t xml:space="preserve">Hurlbut, </w:t>
      </w:r>
      <w:r w:rsidR="00271EAD" w:rsidRPr="007B3BB8">
        <w:t>Kim, this volume)</w:t>
      </w:r>
      <w:r w:rsidR="001336E8" w:rsidRPr="007B3BB8">
        <w:t>.</w:t>
      </w:r>
      <w:r w:rsidR="00DC596E" w:rsidRPr="007B3BB8">
        <w:t xml:space="preserve">  </w:t>
      </w:r>
    </w:p>
    <w:p w14:paraId="4FA000F9" w14:textId="7898105B" w:rsidR="00DF002F" w:rsidRPr="007B3BB8" w:rsidRDefault="00DF002F" w:rsidP="00DF002F">
      <w:pPr>
        <w:spacing w:line="480" w:lineRule="auto"/>
        <w:ind w:firstLine="720"/>
      </w:pPr>
      <w:r w:rsidRPr="007B3BB8">
        <w:t xml:space="preserve">Nancy Chen dissects one </w:t>
      </w:r>
      <w:r w:rsidR="00A84693" w:rsidRPr="007B3BB8">
        <w:t>such</w:t>
      </w:r>
      <w:r w:rsidR="00056267" w:rsidRPr="007B3BB8">
        <w:t xml:space="preserve"> </w:t>
      </w:r>
      <w:r w:rsidRPr="007B3BB8">
        <w:t xml:space="preserve">mode of extension through governance, the incorporation of biotechnology into China’s long national engagement with culturing rice.  Operating through the private, but publicly funded, Beijing Genomics Institute (BGI), China muscled its way into rice genome sequencing with a “China first” strategy that led to the selection of the nation’s preferred </w:t>
      </w:r>
      <w:r w:rsidRPr="007B3BB8">
        <w:rPr>
          <w:i/>
        </w:rPr>
        <w:t>indica</w:t>
      </w:r>
      <w:r w:rsidRPr="007B3BB8">
        <w:t xml:space="preserve"> strain as the target for sequencing.  At BGI, work on the rice genome played out alongside other projects of distinctively Chinese interest, such as research on the panda and the silkworm.  BGI emerged </w:t>
      </w:r>
      <w:r w:rsidR="00056267" w:rsidRPr="007B3BB8">
        <w:t xml:space="preserve">in short order </w:t>
      </w:r>
      <w:r w:rsidRPr="007B3BB8">
        <w:t xml:space="preserve">as a site for hybridizing </w:t>
      </w:r>
      <w:r w:rsidR="0057154C">
        <w:t xml:space="preserve">international </w:t>
      </w:r>
      <w:r w:rsidRPr="007B3BB8">
        <w:t xml:space="preserve">genomic science </w:t>
      </w:r>
      <w:r w:rsidR="0057154C">
        <w:t xml:space="preserve">and technology </w:t>
      </w:r>
      <w:r w:rsidRPr="007B3BB8">
        <w:t>with Chinese priorities so as to underwrite a biotechnological imaginary of, by, and for the nation.</w:t>
      </w:r>
    </w:p>
    <w:p w14:paraId="48522FC4" w14:textId="44595E37" w:rsidR="00DF002F" w:rsidRPr="007B3BB8" w:rsidRDefault="00DF002F" w:rsidP="00DF002F">
      <w:pPr>
        <w:spacing w:line="480" w:lineRule="auto"/>
        <w:ind w:firstLine="720"/>
      </w:pPr>
      <w:r w:rsidRPr="007B3BB8">
        <w:t>The process of integrating biotechnology into the Chinese government’s promise to safeguard the nation’s food security required strengthening some networks at the expense of others, Chen argues.  The genome sequencing effort forged strong links betwe</w:t>
      </w:r>
      <w:r w:rsidR="00056267" w:rsidRPr="007B3BB8">
        <w:t>en BGI scientists and the state</w:t>
      </w:r>
      <w:r w:rsidRPr="007B3BB8">
        <w:t xml:space="preserve"> but diminished the role of farmers, who were relegated to the position of technicians while scientists become de facto rice breeders through their specialist knowledge of plant genetics.  While giving agricultural biotechnology a national face, then, the Chinese story also paradoxically extends and internationalizes a transnational imaginary of science-led development that puts China on the same page as the United States with respect to naturalizing—indeed imperializing (Jasanoff 2006)—a particular vision of GM technology.  BGI also participated in demoting the relatively more complex understandings of ecologists and farmers in relation to the techniques of molecular biology.  These are moves that Austria, along with </w:t>
      </w:r>
      <w:r w:rsidRPr="007B3BB8">
        <w:lastRenderedPageBreak/>
        <w:t xml:space="preserve">other European states, </w:t>
      </w:r>
      <w:r w:rsidR="00056267" w:rsidRPr="007B3BB8">
        <w:t>successfully</w:t>
      </w:r>
      <w:r w:rsidRPr="007B3BB8">
        <w:t xml:space="preserve"> resisted (Felt, this volume), showing th</w:t>
      </w:r>
      <w:r w:rsidR="0057154C">
        <w:t xml:space="preserve">at extension can never be taken for </w:t>
      </w:r>
      <w:r w:rsidRPr="007B3BB8">
        <w:t xml:space="preserve">granted or </w:t>
      </w:r>
      <w:r w:rsidR="005231C5">
        <w:t>free from contestation</w:t>
      </w:r>
      <w:r w:rsidRPr="007B3BB8">
        <w:t>.</w:t>
      </w:r>
    </w:p>
    <w:p w14:paraId="13FF4DD8" w14:textId="5637CD4F" w:rsidR="002C5255" w:rsidRPr="007B3BB8" w:rsidRDefault="00056267" w:rsidP="002C5255">
      <w:pPr>
        <w:spacing w:line="480" w:lineRule="auto"/>
        <w:ind w:firstLine="720"/>
      </w:pPr>
      <w:r w:rsidRPr="007B3BB8">
        <w:t xml:space="preserve">Extension, moreover, does not imply an abandonment of political particularities.  </w:t>
      </w:r>
      <w:r w:rsidR="002C5255" w:rsidRPr="007B3BB8">
        <w:t>Regula Burri’s chapter uses cross-national comparison to illustrate variation</w:t>
      </w:r>
      <w:r w:rsidRPr="007B3BB8">
        <w:t>s</w:t>
      </w:r>
      <w:r w:rsidR="002C5255" w:rsidRPr="007B3BB8">
        <w:t xml:space="preserve"> </w:t>
      </w:r>
      <w:r w:rsidRPr="007B3BB8">
        <w:t>between</w:t>
      </w:r>
      <w:r w:rsidR="002C5255" w:rsidRPr="007B3BB8">
        <w:t xml:space="preserve"> U.S. and German approaches to defining nanotechnology as a regulatory object.  She shows how benefits and risks were differently weighted in these two policy environments, though both were </w:t>
      </w:r>
      <w:r w:rsidRPr="007B3BB8">
        <w:t>extremely hospitable</w:t>
      </w:r>
      <w:r w:rsidR="002C5255" w:rsidRPr="007B3BB8">
        <w:t xml:space="preserve"> to and supportive of </w:t>
      </w:r>
      <w:r w:rsidRPr="007B3BB8">
        <w:t>this promising technological sector</w:t>
      </w:r>
      <w:r w:rsidR="002C5255" w:rsidRPr="007B3BB8">
        <w:t xml:space="preserve">.  </w:t>
      </w:r>
      <w:r w:rsidR="00C010C3" w:rsidRPr="007B3BB8">
        <w:t>The U.S. sociotechnical imaginary</w:t>
      </w:r>
      <w:r w:rsidR="002C5255" w:rsidRPr="007B3BB8">
        <w:t xml:space="preserve"> </w:t>
      </w:r>
      <w:r w:rsidR="00C010C3" w:rsidRPr="007B3BB8">
        <w:t>emerged as</w:t>
      </w:r>
      <w:r w:rsidR="002C5255" w:rsidRPr="007B3BB8">
        <w:t xml:space="preserve"> </w:t>
      </w:r>
      <w:r w:rsidR="0035230B">
        <w:t xml:space="preserve">less </w:t>
      </w:r>
      <w:r w:rsidR="002C5255" w:rsidRPr="007B3BB8">
        <w:t xml:space="preserve">symmetric.  </w:t>
      </w:r>
      <w:r w:rsidR="00C010C3" w:rsidRPr="007B3BB8">
        <w:t>American policy documents</w:t>
      </w:r>
      <w:r w:rsidR="002C5255" w:rsidRPr="007B3BB8">
        <w:t xml:space="preserve"> assessed the presumed benefits of nanotechnology more highly than possible negative consequences and put greater emphasis on achieving economic and political leadership than on environmental </w:t>
      </w:r>
      <w:r w:rsidR="0096750A">
        <w:t>hazards</w:t>
      </w:r>
      <w:r w:rsidR="002C5255" w:rsidRPr="007B3BB8">
        <w:t xml:space="preserve">.  U.S. governmental authorities also imagined risks to be manageable, </w:t>
      </w:r>
      <w:r w:rsidR="00C010C3" w:rsidRPr="007B3BB8">
        <w:t>whereas</w:t>
      </w:r>
      <w:r w:rsidR="002C5255" w:rsidRPr="007B3BB8">
        <w:t xml:space="preserve"> German authorities </w:t>
      </w:r>
      <w:r w:rsidR="00C010C3" w:rsidRPr="007B3BB8">
        <w:t>stressed</w:t>
      </w:r>
      <w:r w:rsidR="002C5255" w:rsidRPr="007B3BB8">
        <w:t xml:space="preserve"> the minimization or avoidance of risk.  In keeping with its </w:t>
      </w:r>
      <w:r w:rsidR="00C010C3" w:rsidRPr="007B3BB8">
        <w:t xml:space="preserve">more </w:t>
      </w:r>
      <w:r w:rsidR="002C5255" w:rsidRPr="007B3BB8">
        <w:t xml:space="preserve">positive outlook on the future, U.S. policy placed greater </w:t>
      </w:r>
      <w:r w:rsidR="00C010C3" w:rsidRPr="007B3BB8">
        <w:t>emphasis</w:t>
      </w:r>
      <w:r w:rsidR="002C5255" w:rsidRPr="007B3BB8">
        <w:t xml:space="preserve"> on producing the ideal citizen-consumer who would help </w:t>
      </w:r>
      <w:r w:rsidR="00C010C3" w:rsidRPr="007B3BB8">
        <w:t>ensure</w:t>
      </w:r>
      <w:r w:rsidR="002C5255" w:rsidRPr="007B3BB8">
        <w:t xml:space="preserve"> a </w:t>
      </w:r>
      <w:r w:rsidR="00C010C3" w:rsidRPr="007B3BB8">
        <w:t>successful</w:t>
      </w:r>
      <w:r w:rsidR="002C5255" w:rsidRPr="007B3BB8">
        <w:t xml:space="preserve"> market for nano-products across a wide range of applications.  Accordingly, while German policy envisioned a need for two-way dialogue with publics, the U.S. National Nanotechnology Initiative (NNI) invested in research centers to educate citizens so as to foster what NNI planners saw as more informed decisionmaking.  Burri suggests that these differences in framing and policy </w:t>
      </w:r>
      <w:r w:rsidR="00C010C3" w:rsidRPr="007B3BB8">
        <w:t>focus</w:t>
      </w:r>
      <w:r w:rsidR="002C5255" w:rsidRPr="007B3BB8">
        <w:t xml:space="preserve"> speak to the institutionalized ways of public knowledge-making, reasoning, and uptake that I have called civic epistemologies (Jasanoff 2005b, 2012).  In </w:t>
      </w:r>
      <w:r w:rsidR="000A3DFA">
        <w:t>other words</w:t>
      </w:r>
      <w:r w:rsidR="002C5255" w:rsidRPr="007B3BB8">
        <w:t xml:space="preserve">, sociotechnical imaginaries are embedded in the political cultures of nations.  Projects of world-making </w:t>
      </w:r>
      <w:r w:rsidR="002C5255" w:rsidRPr="007B3BB8">
        <w:lastRenderedPageBreak/>
        <w:t xml:space="preserve">succeed best when they are well synchronized with ongoing projects of nation-building and the reaffirmation, or re-performance, of </w:t>
      </w:r>
      <w:r w:rsidR="008E204C">
        <w:t>dominant national identities</w:t>
      </w:r>
      <w:r w:rsidR="002C5255" w:rsidRPr="007B3BB8">
        <w:t>.</w:t>
      </w:r>
    </w:p>
    <w:p w14:paraId="445A1090" w14:textId="4F9DC6B0" w:rsidR="000C3F68" w:rsidRPr="007B3BB8" w:rsidRDefault="002C5255" w:rsidP="002C5255">
      <w:pPr>
        <w:spacing w:line="480" w:lineRule="auto"/>
        <w:ind w:firstLine="720"/>
      </w:pPr>
      <w:r w:rsidRPr="007B3BB8">
        <w:t xml:space="preserve">Burri directs her attention to the public sphere, where institutionalized discourses of reason are always and already in play.  </w:t>
      </w:r>
      <w:r w:rsidR="000C3F68" w:rsidRPr="007B3BB8">
        <w:t>Elta Smith offers on</w:t>
      </w:r>
      <w:r w:rsidRPr="007B3BB8">
        <w:t xml:space="preserve">e of the clearest examples of a private sector </w:t>
      </w:r>
      <w:r w:rsidR="000C3F68" w:rsidRPr="007B3BB8">
        <w:t xml:space="preserve"> institutional imaginary in her analysis of Syngenta Corporation’s “humanitarian contract” for Golden Rice.  In her </w:t>
      </w:r>
      <w:r w:rsidR="00C010C3" w:rsidRPr="007B3BB8">
        <w:t>analysis</w:t>
      </w:r>
      <w:r w:rsidR="000C3F68" w:rsidRPr="007B3BB8">
        <w:t xml:space="preserve">, the process of licensing this vitamin-enriched rice strain for use in developing countries becomes a locus for </w:t>
      </w:r>
      <w:r w:rsidR="008E204C">
        <w:t>sophisticated</w:t>
      </w:r>
      <w:r w:rsidR="000C3F68" w:rsidRPr="007B3BB8">
        <w:t xml:space="preserve"> forms of boundary drawing.  Smith focuses particularly on the tacit accommodations between Syngenta’s private economic interests and its interpretation of its “corporate social </w:t>
      </w:r>
      <w:r w:rsidR="008E204C">
        <w:t xml:space="preserve">responsibility” (CSR), itself </w:t>
      </w:r>
      <w:r w:rsidR="000C3F68" w:rsidRPr="007B3BB8">
        <w:t xml:space="preserve">shorthand for justifying self-governance by multinational corporations in the twenty-first century.  This is at bottom a story of co-production, showing how a new biological entity, Golden Rice, operates simultaneously as an engineered device </w:t>
      </w:r>
      <w:r w:rsidR="00C010C3" w:rsidRPr="007B3BB8">
        <w:t>promising to</w:t>
      </w:r>
      <w:r w:rsidR="000C3F68" w:rsidRPr="007B3BB8">
        <w:t xml:space="preserve"> d</w:t>
      </w:r>
      <w:r w:rsidR="00C010C3" w:rsidRPr="007B3BB8">
        <w:t>eliver</w:t>
      </w:r>
      <w:r w:rsidR="000C3F68" w:rsidRPr="007B3BB8">
        <w:t xml:space="preserve"> needed nutrients to at-risk bodies and as a bearer of corporate ideologies of property and ownership.  As a </w:t>
      </w:r>
      <w:r w:rsidR="008E204C">
        <w:t>material-legal</w:t>
      </w:r>
      <w:r w:rsidR="000C3F68" w:rsidRPr="007B3BB8">
        <w:t xml:space="preserve"> package, the rice and the license that enables its distribution divide the world’s consumers into </w:t>
      </w:r>
      <w:r w:rsidR="00C010C3" w:rsidRPr="007B3BB8">
        <w:t xml:space="preserve">two </w:t>
      </w:r>
      <w:r w:rsidR="000C3F68" w:rsidRPr="007B3BB8">
        <w:t xml:space="preserve">distinct classes—imagined as either capable or incapable of innovating for themselves.  Indeterminate contractual terms such as “humanitarian research and use” in effect delineate, and potentially </w:t>
      </w:r>
      <w:r w:rsidR="0097053F">
        <w:t>hold</w:t>
      </w:r>
      <w:r w:rsidR="000C3F68" w:rsidRPr="007B3BB8">
        <w:t xml:space="preserve"> in place, distinctions between passive consumers (the “developing”) who may derive present benefit from “donations,” but are not allowed to profit from their use, and active producers (the “developed”) who are regarded as capable of deriving future value </w:t>
      </w:r>
      <w:r w:rsidR="00C010C3" w:rsidRPr="007B3BB8">
        <w:t>by adding to</w:t>
      </w:r>
      <w:r w:rsidR="000C3F68" w:rsidRPr="007B3BB8">
        <w:t xml:space="preserve"> Syngenta’s inventions.  </w:t>
      </w:r>
    </w:p>
    <w:p w14:paraId="4E3A4DE3" w14:textId="72DC3A5B" w:rsidR="007D33AE" w:rsidRPr="007B3BB8" w:rsidRDefault="00BB5E8E" w:rsidP="00CD331C">
      <w:pPr>
        <w:spacing w:line="480" w:lineRule="auto"/>
        <w:ind w:firstLine="720"/>
      </w:pPr>
      <w:r w:rsidRPr="007B3BB8">
        <w:t>International organizations are prominently involved in</w:t>
      </w:r>
      <w:r w:rsidR="007411E1" w:rsidRPr="007B3BB8">
        <w:t xml:space="preserve"> creating, institutionalizing, and </w:t>
      </w:r>
      <w:r w:rsidRPr="007B3BB8">
        <w:t>extending sociotechnical imaginaries.</w:t>
      </w:r>
      <w:r w:rsidR="00663042" w:rsidRPr="007B3BB8">
        <w:t xml:space="preserve">  </w:t>
      </w:r>
      <w:r w:rsidR="00DC2B76" w:rsidRPr="007B3BB8">
        <w:t>One</w:t>
      </w:r>
      <w:r w:rsidR="00663042" w:rsidRPr="007B3BB8">
        <w:t xml:space="preserve"> salient example of such </w:t>
      </w:r>
      <w:r w:rsidR="00663042" w:rsidRPr="007B3BB8">
        <w:lastRenderedPageBreak/>
        <w:t>extension is the emergence of globalism itself as a newly imagined space of governa</w:t>
      </w:r>
      <w:r w:rsidR="007D33AE" w:rsidRPr="007B3BB8">
        <w:t>nce in the latter part of the tw</w:t>
      </w:r>
      <w:r w:rsidR="00663042" w:rsidRPr="007B3BB8">
        <w:t xml:space="preserve">entieth century.  Clark Miller traces the growth of the global sociotechnical imaginary through the interaction of three frames: global security, global systems, and global governance.  Humanity </w:t>
      </w:r>
      <w:r w:rsidR="0097053F">
        <w:t xml:space="preserve">as a whole </w:t>
      </w:r>
      <w:r w:rsidR="00663042" w:rsidRPr="007B3BB8">
        <w:t xml:space="preserve">confronted threats </w:t>
      </w:r>
      <w:r w:rsidR="002E0057" w:rsidRPr="007B3BB8">
        <w:t xml:space="preserve">perceived to be </w:t>
      </w:r>
      <w:r w:rsidR="00663042" w:rsidRPr="007B3BB8">
        <w:t>on a worldwide scale during and so</w:t>
      </w:r>
      <w:r w:rsidR="007D33AE" w:rsidRPr="007B3BB8">
        <w:t>on after the Second World War</w:t>
      </w:r>
      <w:r w:rsidR="00C010C3" w:rsidRPr="007B3BB8">
        <w:t>, largely as a result of the atomic bombing of Hiroshima and Nagasaki</w:t>
      </w:r>
      <w:r w:rsidR="007D33AE" w:rsidRPr="007B3BB8">
        <w:t>.  B</w:t>
      </w:r>
      <w:r w:rsidR="00663042" w:rsidRPr="007B3BB8">
        <w:t xml:space="preserve">ut as Miller </w:t>
      </w:r>
      <w:r w:rsidR="00C010C3" w:rsidRPr="007B3BB8">
        <w:t>demonstrates</w:t>
      </w:r>
      <w:r w:rsidR="00663042" w:rsidRPr="007B3BB8">
        <w:t xml:space="preserve"> through a close reading of statements by President Harry Truman and other officials, </w:t>
      </w:r>
      <w:r w:rsidR="007D33AE" w:rsidRPr="007B3BB8">
        <w:t>response capability was</w:t>
      </w:r>
      <w:r w:rsidR="00D65131" w:rsidRPr="007B3BB8">
        <w:t xml:space="preserve"> still thought to lodge in </w:t>
      </w:r>
      <w:r w:rsidR="00C010C3" w:rsidRPr="007B3BB8">
        <w:t xml:space="preserve">nation states, whose job </w:t>
      </w:r>
      <w:r w:rsidR="007D33AE" w:rsidRPr="007B3BB8">
        <w:t xml:space="preserve">was to create </w:t>
      </w:r>
      <w:r w:rsidR="00D110D6" w:rsidRPr="007B3BB8">
        <w:t xml:space="preserve">the </w:t>
      </w:r>
      <w:r w:rsidR="007D33AE" w:rsidRPr="007B3BB8">
        <w:t>“one world” in which all could work together to solve those big problems.</w:t>
      </w:r>
    </w:p>
    <w:p w14:paraId="2DCAD4AF" w14:textId="6285EC83" w:rsidR="00DC2B76" w:rsidRPr="007B3BB8" w:rsidRDefault="007D33AE" w:rsidP="00CD331C">
      <w:pPr>
        <w:spacing w:line="480" w:lineRule="auto"/>
        <w:ind w:firstLine="720"/>
      </w:pPr>
      <w:r w:rsidRPr="007B3BB8">
        <w:t>The crafting of a new imaginary</w:t>
      </w:r>
      <w:r w:rsidR="00E11A7D" w:rsidRPr="007B3BB8">
        <w:t xml:space="preserve"> of governance</w:t>
      </w:r>
      <w:r w:rsidRPr="007B3BB8">
        <w:t xml:space="preserve">, </w:t>
      </w:r>
      <w:r w:rsidR="00E11A7D" w:rsidRPr="007B3BB8">
        <w:t>with</w:t>
      </w:r>
      <w:r w:rsidRPr="007B3BB8">
        <w:t xml:space="preserve"> the scale of problem definition and response moved up and away from the nation</w:t>
      </w:r>
      <w:r w:rsidR="00B772BC">
        <w:t xml:space="preserve"> state</w:t>
      </w:r>
      <w:r w:rsidRPr="007B3BB8">
        <w:t>, was a product, Miller argues, of science-d</w:t>
      </w:r>
      <w:r w:rsidR="00962495" w:rsidRPr="007B3BB8">
        <w:t>riven thinking in the specialized</w:t>
      </w:r>
      <w:r w:rsidRPr="007B3BB8">
        <w:t xml:space="preserve"> agencies of the United Nations system, most notably the World Health Organization (WHO) and the World </w:t>
      </w:r>
      <w:r w:rsidR="00904CE7" w:rsidRPr="007B3BB8">
        <w:t>Meteorological</w:t>
      </w:r>
      <w:r w:rsidRPr="007B3BB8">
        <w:t xml:space="preserve"> Organization (WMO).</w:t>
      </w:r>
      <w:r w:rsidR="00E11A7D" w:rsidRPr="007B3BB8">
        <w:t xml:space="preserve">  Increased modeling capabilities played their part, along with other scientific techniques of visualization and calculation that allowed populations to be constructed independently of national boundaries, such as people infected by HIV-AIDS or at risk from sea level rise or pandemics.  The result is not a </w:t>
      </w:r>
      <w:r w:rsidR="00DD4A58" w:rsidRPr="007B3BB8">
        <w:t xml:space="preserve">simple </w:t>
      </w:r>
      <w:r w:rsidR="00E11A7D" w:rsidRPr="007B3BB8">
        <w:t xml:space="preserve">superseding of national authority by </w:t>
      </w:r>
      <w:r w:rsidR="00DD4A58" w:rsidRPr="007B3BB8">
        <w:t>global institutions, but rather the emergence of new</w:t>
      </w:r>
      <w:r w:rsidR="00597B2E" w:rsidRPr="007B3BB8">
        <w:t>, expert-driven imaginations of</w:t>
      </w:r>
      <w:r w:rsidR="00DD4A58" w:rsidRPr="007B3BB8">
        <w:t xml:space="preserve"> how threats to the human condition should be framed and which institutions are best positioned to offer relief. </w:t>
      </w:r>
      <w:r w:rsidR="00E11A7D" w:rsidRPr="007B3BB8">
        <w:t xml:space="preserve"> </w:t>
      </w:r>
    </w:p>
    <w:p w14:paraId="594E0188" w14:textId="727B0608" w:rsidR="00BB5E8E" w:rsidRPr="007B3BB8" w:rsidRDefault="00DC2B76" w:rsidP="00CD331C">
      <w:pPr>
        <w:spacing w:line="480" w:lineRule="auto"/>
        <w:ind w:firstLine="720"/>
      </w:pPr>
      <w:r w:rsidRPr="007B3BB8">
        <w:t xml:space="preserve">Andrew Lakoff’s chapter on </w:t>
      </w:r>
      <w:r w:rsidR="00A64FE8" w:rsidRPr="007B3BB8">
        <w:t>global health offers an interesting counterpoint to Miller’s story.  Like Miller, Lakoff</w:t>
      </w:r>
      <w:r w:rsidR="004B3A4A" w:rsidRPr="007B3BB8">
        <w:t xml:space="preserve"> focuses on the emergence of the global as a space of </w:t>
      </w:r>
      <w:r w:rsidR="00AB1674" w:rsidRPr="007B3BB8">
        <w:t>problem</w:t>
      </w:r>
      <w:r w:rsidR="004B3A4A" w:rsidRPr="007B3BB8">
        <w:t xml:space="preserve">-framing and agenda-setting, with the WHO again taking center stage by </w:t>
      </w:r>
      <w:r w:rsidR="009B7E04" w:rsidRPr="007B3BB8">
        <w:lastRenderedPageBreak/>
        <w:t xml:space="preserve">developing the imaginary of “global health security.”  This </w:t>
      </w:r>
      <w:r w:rsidR="009E68E3" w:rsidRPr="007B3BB8">
        <w:t xml:space="preserve">potentially apocalyptic scenario feeds on the confluence of novel pathogens, rapid circulation of people, and </w:t>
      </w:r>
      <w:r w:rsidR="004641B9" w:rsidRPr="007B3BB8">
        <w:t xml:space="preserve">poorly distributed monitoring and response capabilities around the world.  Outbreaks of </w:t>
      </w:r>
      <w:r w:rsidR="008936CB" w:rsidRPr="007B3BB8">
        <w:t xml:space="preserve">infectious diseases such as </w:t>
      </w:r>
      <w:r w:rsidR="0001782E" w:rsidRPr="007B3BB8">
        <w:t xml:space="preserve">Ebola, </w:t>
      </w:r>
      <w:r w:rsidR="00B772BC">
        <w:t>SARS (Severe Acute Respiratory S</w:t>
      </w:r>
      <w:r w:rsidR="008936CB" w:rsidRPr="007B3BB8">
        <w:t>yndrome)</w:t>
      </w:r>
      <w:r w:rsidR="0001782E" w:rsidRPr="007B3BB8">
        <w:t>,</w:t>
      </w:r>
      <w:r w:rsidR="008936CB" w:rsidRPr="007B3BB8">
        <w:t xml:space="preserve"> and humanly transmissible avian flu </w:t>
      </w:r>
      <w:r w:rsidR="00237158" w:rsidRPr="007B3BB8">
        <w:t xml:space="preserve">(e.g., H5N1) </w:t>
      </w:r>
      <w:r w:rsidR="00894BDD" w:rsidRPr="007B3BB8">
        <w:t>have prompted a discourse of preparedness for public health disasters which, in the ideal case, will never be realized.</w:t>
      </w:r>
      <w:r w:rsidR="007765AA" w:rsidRPr="007B3BB8">
        <w:t xml:space="preserve">  To implement this imaginary, WHO has attempted to hold together a vast network of global surveillance with the aid of a </w:t>
      </w:r>
      <w:r w:rsidR="00B772BC">
        <w:t xml:space="preserve">new </w:t>
      </w:r>
      <w:r w:rsidR="00AB1674" w:rsidRPr="007B3BB8">
        <w:t>governance</w:t>
      </w:r>
      <w:r w:rsidR="007765AA" w:rsidRPr="007B3BB8">
        <w:t xml:space="preserve"> tool, the International Health Regulations, whose protocols and provisions remain open to contestation.</w:t>
      </w:r>
    </w:p>
    <w:p w14:paraId="209DB4F2" w14:textId="3AD9E09B" w:rsidR="00152B5F" w:rsidRPr="007B3BB8" w:rsidRDefault="007765AA" w:rsidP="00CD331C">
      <w:pPr>
        <w:spacing w:line="480" w:lineRule="auto"/>
        <w:ind w:firstLine="720"/>
      </w:pPr>
      <w:r w:rsidRPr="007B3BB8">
        <w:t>Lakoff’s study of a glob</w:t>
      </w:r>
      <w:r w:rsidR="00B53D13">
        <w:t>al sociotechnical imaginary in-the-</w:t>
      </w:r>
      <w:r w:rsidRPr="007B3BB8">
        <w:t xml:space="preserve">making illustrates much that is problematic </w:t>
      </w:r>
      <w:r w:rsidR="00B772BC">
        <w:t>about</w:t>
      </w:r>
      <w:r w:rsidRPr="007B3BB8">
        <w:t xml:space="preserve"> extension.  WHO’s project </w:t>
      </w:r>
      <w:r w:rsidR="0044677F" w:rsidRPr="007B3BB8">
        <w:t xml:space="preserve">of preparedness for global health emergencies </w:t>
      </w:r>
      <w:r w:rsidR="00C010C3" w:rsidRPr="007B3BB8">
        <w:t xml:space="preserve">depends </w:t>
      </w:r>
      <w:r w:rsidRPr="007B3BB8">
        <w:t xml:space="preserve">on the acquiescence, indeed </w:t>
      </w:r>
      <w:r w:rsidR="00AB1674" w:rsidRPr="007B3BB8">
        <w:t>submission</w:t>
      </w:r>
      <w:r w:rsidRPr="007B3BB8">
        <w:t>, o</w:t>
      </w:r>
      <w:r w:rsidR="00246498" w:rsidRPr="007B3BB8">
        <w:t>f older centers of calculation</w:t>
      </w:r>
      <w:r w:rsidRPr="007B3BB8">
        <w:t xml:space="preserve"> </w:t>
      </w:r>
      <w:r w:rsidR="00246498" w:rsidRPr="007B3BB8">
        <w:t>(</w:t>
      </w:r>
      <w:r w:rsidR="00C010C3" w:rsidRPr="007B3BB8">
        <w:t xml:space="preserve">Latour </w:t>
      </w:r>
      <w:r w:rsidR="00246498" w:rsidRPr="007B3BB8">
        <w:t xml:space="preserve">1990), </w:t>
      </w:r>
      <w:r w:rsidRPr="007B3BB8">
        <w:t>the national public health authorities that came into being with the rise of the modern state.</w:t>
      </w:r>
      <w:r w:rsidR="0001782E" w:rsidRPr="007B3BB8">
        <w:t xml:space="preserve">  As so often </w:t>
      </w:r>
      <w:r w:rsidR="008B7E97" w:rsidRPr="007B3BB8">
        <w:t>happens</w:t>
      </w:r>
      <w:r w:rsidR="0001782E" w:rsidRPr="007B3BB8">
        <w:t xml:space="preserve"> in national political disputes, d</w:t>
      </w:r>
      <w:r w:rsidR="00AB1674" w:rsidRPr="007B3BB8">
        <w:t xml:space="preserve">isagreements between levels of governance, fundamentally a matter of jurisdictional struggle, translate into </w:t>
      </w:r>
      <w:r w:rsidR="0001782E" w:rsidRPr="007B3BB8">
        <w:t xml:space="preserve">expert controversies.  Lakoff offers two illustrations: </w:t>
      </w:r>
      <w:r w:rsidR="00484522" w:rsidRPr="007B3BB8">
        <w:t>the Indonesian Health Ministry’s refusal</w:t>
      </w:r>
      <w:r w:rsidR="00844EEB" w:rsidRPr="007B3BB8">
        <w:t>,</w:t>
      </w:r>
      <w:r w:rsidR="00484522" w:rsidRPr="007B3BB8">
        <w:t xml:space="preserve"> starting in 2006</w:t>
      </w:r>
      <w:r w:rsidR="00844EEB" w:rsidRPr="007B3BB8">
        <w:t>,</w:t>
      </w:r>
      <w:r w:rsidR="00484522" w:rsidRPr="007B3BB8">
        <w:t xml:space="preserve"> to share influenza virus </w:t>
      </w:r>
      <w:r w:rsidR="003B63CF" w:rsidRPr="007B3BB8">
        <w:t xml:space="preserve">with the international community </w:t>
      </w:r>
      <w:r w:rsidR="00484522" w:rsidRPr="007B3BB8">
        <w:t>under a doctrin</w:t>
      </w:r>
      <w:r w:rsidR="000B47B8" w:rsidRPr="007B3BB8">
        <w:t>e</w:t>
      </w:r>
      <w:r w:rsidR="00484522" w:rsidRPr="007B3BB8">
        <w:t xml:space="preserve"> of </w:t>
      </w:r>
      <w:r w:rsidR="000B47B8" w:rsidRPr="007B3BB8">
        <w:t>“</w:t>
      </w:r>
      <w:r w:rsidR="00484522" w:rsidRPr="007B3BB8">
        <w:t>viral sovereignty</w:t>
      </w:r>
      <w:r w:rsidR="000B47B8" w:rsidRPr="007B3BB8">
        <w:t xml:space="preserve">”; and the debate over whether WHO experts had overreacted in advising </w:t>
      </w:r>
      <w:r w:rsidR="00456A4C" w:rsidRPr="007B3BB8">
        <w:t>expensive</w:t>
      </w:r>
      <w:r w:rsidR="00844EEB" w:rsidRPr="007B3BB8">
        <w:t xml:space="preserve"> and </w:t>
      </w:r>
      <w:r w:rsidR="000B47B8" w:rsidRPr="007B3BB8">
        <w:t>unwarranted precautionary measures against swine flu in 2009.</w:t>
      </w:r>
      <w:r w:rsidR="00844EEB" w:rsidRPr="007B3BB8">
        <w:t xml:space="preserve">  Charges against </w:t>
      </w:r>
      <w:r w:rsidR="003B63CF" w:rsidRPr="007B3BB8">
        <w:t>the WHO experts ranged from faulty modeling to conflicts of interest</w:t>
      </w:r>
      <w:r w:rsidR="00EF3378" w:rsidRPr="007B3BB8">
        <w:t xml:space="preserve">, the latter rejected by </w:t>
      </w:r>
      <w:r w:rsidR="00597B2E" w:rsidRPr="007B3BB8">
        <w:t>a</w:t>
      </w:r>
      <w:r w:rsidR="00EF3378" w:rsidRPr="007B3BB8">
        <w:t xml:space="preserve"> review committee appointed to </w:t>
      </w:r>
      <w:r w:rsidR="00597B2E" w:rsidRPr="007B3BB8">
        <w:t>study</w:t>
      </w:r>
      <w:r w:rsidR="00EF3378" w:rsidRPr="007B3BB8">
        <w:t xml:space="preserve"> the episode.  For our purposes, however, the key point here is that the WHO’s imaginary of global </w:t>
      </w:r>
      <w:r w:rsidR="00456A4C" w:rsidRPr="007B3BB8">
        <w:t>governance</w:t>
      </w:r>
      <w:r w:rsidR="00EF3378" w:rsidRPr="007B3BB8">
        <w:t xml:space="preserve">, underwritten by new knowledge and </w:t>
      </w:r>
      <w:r w:rsidR="00EF3378" w:rsidRPr="007B3BB8">
        <w:lastRenderedPageBreak/>
        <w:t xml:space="preserve">enabled by new technologies of monitoring and surveillance, remains as yet imperfectly realized.  </w:t>
      </w:r>
      <w:r w:rsidR="008D74EA" w:rsidRPr="007B3BB8">
        <w:t>Even in an era of intensified globalization, n</w:t>
      </w:r>
      <w:r w:rsidR="00EF3378" w:rsidRPr="007B3BB8">
        <w:t>ation states remain alive and well as sovereign centers</w:t>
      </w:r>
      <w:r w:rsidR="00F077C4" w:rsidRPr="007B3BB8">
        <w:t xml:space="preserve"> of imagination and governance.  </w:t>
      </w:r>
    </w:p>
    <w:p w14:paraId="5D336906" w14:textId="0382EADC" w:rsidR="00DD7491" w:rsidRPr="007B3BB8" w:rsidRDefault="00EF3378" w:rsidP="00B474CC">
      <w:pPr>
        <w:spacing w:line="480" w:lineRule="auto"/>
        <w:ind w:firstLine="720"/>
      </w:pPr>
      <w:r w:rsidRPr="007B3BB8">
        <w:t>Miller</w:t>
      </w:r>
      <w:r w:rsidR="00262374" w:rsidRPr="007B3BB8">
        <w:t>’s</w:t>
      </w:r>
      <w:r w:rsidRPr="007B3BB8">
        <w:t xml:space="preserve"> and Lakoff</w:t>
      </w:r>
      <w:r w:rsidR="00262374" w:rsidRPr="007B3BB8">
        <w:t>’s</w:t>
      </w:r>
      <w:r w:rsidRPr="007B3BB8">
        <w:t xml:space="preserve"> chapters not only </w:t>
      </w:r>
      <w:r w:rsidR="00F077C4" w:rsidRPr="007B3BB8">
        <w:t xml:space="preserve">chronicle </w:t>
      </w:r>
      <w:r w:rsidRPr="007B3BB8">
        <w:t xml:space="preserve">the </w:t>
      </w:r>
      <w:r w:rsidR="00456A4C" w:rsidRPr="007B3BB8">
        <w:t>birth</w:t>
      </w:r>
      <w:r w:rsidRPr="007B3BB8">
        <w:t xml:space="preserve"> of an imaginary </w:t>
      </w:r>
      <w:r w:rsidR="00004A3F" w:rsidRPr="007B3BB8">
        <w:t xml:space="preserve">of supranational governance, </w:t>
      </w:r>
      <w:r w:rsidRPr="007B3BB8">
        <w:t>but also the friction</w:t>
      </w:r>
      <w:r w:rsidR="00B772BC">
        <w:t>s</w:t>
      </w:r>
      <w:r w:rsidRPr="007B3BB8">
        <w:t xml:space="preserve"> a</w:t>
      </w:r>
      <w:r w:rsidR="00262374" w:rsidRPr="007B3BB8">
        <w:t xml:space="preserve">nd </w:t>
      </w:r>
      <w:r w:rsidR="0035230B">
        <w:t>conflict</w:t>
      </w:r>
      <w:r w:rsidR="00B772BC">
        <w:t>s</w:t>
      </w:r>
      <w:r w:rsidR="00262374" w:rsidRPr="007B3BB8">
        <w:t xml:space="preserve"> that accompany</w:t>
      </w:r>
      <w:r w:rsidRPr="007B3BB8">
        <w:t xml:space="preserve"> any effort to extend imagination’s rule </w:t>
      </w:r>
      <w:r w:rsidR="00262374" w:rsidRPr="007B3BB8">
        <w:t>over</w:t>
      </w:r>
      <w:r w:rsidRPr="007B3BB8">
        <w:t xml:space="preserve"> new </w:t>
      </w:r>
      <w:r w:rsidR="00004A3F" w:rsidRPr="007B3BB8">
        <w:t>subjects and territories</w:t>
      </w:r>
      <w:r w:rsidRPr="007B3BB8">
        <w:t>.</w:t>
      </w:r>
      <w:r w:rsidR="00F077C4" w:rsidRPr="007B3BB8">
        <w:t xml:space="preserve">  Resistance in these cases </w:t>
      </w:r>
      <w:r w:rsidR="00D23819" w:rsidRPr="007B3BB8">
        <w:t xml:space="preserve">operates almost as a physical force impeding the </w:t>
      </w:r>
      <w:r w:rsidR="00004A3F" w:rsidRPr="007B3BB8">
        <w:t xml:space="preserve">supposedly </w:t>
      </w:r>
      <w:r w:rsidR="00B772BC">
        <w:t>free</w:t>
      </w:r>
      <w:r w:rsidR="00D23819" w:rsidRPr="007B3BB8">
        <w:t xml:space="preserve"> flow of globalization</w:t>
      </w:r>
      <w:r w:rsidR="00004A3F" w:rsidRPr="007B3BB8">
        <w:t>.  B</w:t>
      </w:r>
      <w:r w:rsidR="00F077C4" w:rsidRPr="007B3BB8">
        <w:t xml:space="preserve">ut oppositional movements </w:t>
      </w:r>
      <w:r w:rsidR="00004A3F" w:rsidRPr="007B3BB8">
        <w:t xml:space="preserve">could </w:t>
      </w:r>
      <w:r w:rsidR="00F077C4" w:rsidRPr="007B3BB8">
        <w:t xml:space="preserve">also </w:t>
      </w:r>
      <w:r w:rsidR="00C81335" w:rsidRPr="007B3BB8">
        <w:t>stimulate the creation of new sociotechnical imaginaries</w:t>
      </w:r>
      <w:r w:rsidR="00D23819" w:rsidRPr="007B3BB8">
        <w:t xml:space="preserve"> that </w:t>
      </w:r>
      <w:r w:rsidR="0035230B">
        <w:t>might</w:t>
      </w:r>
      <w:r w:rsidR="00004A3F" w:rsidRPr="007B3BB8">
        <w:t xml:space="preserve"> lay the groundwork</w:t>
      </w:r>
      <w:r w:rsidR="00152B5F" w:rsidRPr="007B3BB8">
        <w:t xml:space="preserve"> </w:t>
      </w:r>
      <w:r w:rsidR="00004A3F" w:rsidRPr="007B3BB8">
        <w:t>for</w:t>
      </w:r>
      <w:r w:rsidR="00D23819" w:rsidRPr="007B3BB8">
        <w:t xml:space="preserve"> far-reaching </w:t>
      </w:r>
      <w:r w:rsidR="00152B5F" w:rsidRPr="007B3BB8">
        <w:t>reforms</w:t>
      </w:r>
      <w:r w:rsidR="00004A3F" w:rsidRPr="007B3BB8">
        <w:t xml:space="preserve"> in current understandings of sovereignty, constitutionalism, and democracy</w:t>
      </w:r>
      <w:r w:rsidR="00C81335" w:rsidRPr="007B3BB8">
        <w:t>.</w:t>
      </w:r>
      <w:r w:rsidR="005F675E" w:rsidRPr="007B3BB8">
        <w:t xml:space="preserve"> </w:t>
      </w:r>
    </w:p>
    <w:p w14:paraId="18510577" w14:textId="22897F34" w:rsidR="00481D01" w:rsidRPr="007B3BB8" w:rsidRDefault="000B3A71" w:rsidP="00481D01">
      <w:pPr>
        <w:spacing w:before="120" w:line="480" w:lineRule="auto"/>
        <w:rPr>
          <w:b/>
        </w:rPr>
      </w:pPr>
      <w:r w:rsidRPr="007B3BB8">
        <w:rPr>
          <w:b/>
        </w:rPr>
        <w:t xml:space="preserve">Conclusion: </w:t>
      </w:r>
      <w:r w:rsidR="00783FEE">
        <w:rPr>
          <w:b/>
        </w:rPr>
        <w:t>Fabricating the Future</w:t>
      </w:r>
    </w:p>
    <w:p w14:paraId="774B6A7D" w14:textId="01378F5F" w:rsidR="007F12CB" w:rsidRPr="007B3BB8" w:rsidRDefault="008F5FDB" w:rsidP="000B3A71">
      <w:pPr>
        <w:spacing w:line="480" w:lineRule="auto"/>
        <w:ind w:firstLine="720"/>
      </w:pPr>
      <w:r w:rsidRPr="007B3BB8">
        <w:t xml:space="preserve">Science fiction, I suggested in the introduction, is a repository of sociotechnical </w:t>
      </w:r>
      <w:r w:rsidR="007F0AA4" w:rsidRPr="007B3BB8">
        <w:t>imaginaries</w:t>
      </w:r>
      <w:r w:rsidRPr="007B3BB8">
        <w:t xml:space="preserve">, visions that integrate futures of </w:t>
      </w:r>
      <w:r w:rsidR="001925F7" w:rsidRPr="007B3BB8">
        <w:t>growing</w:t>
      </w:r>
      <w:r w:rsidRPr="007B3BB8">
        <w:t xml:space="preserve"> knowledge and </w:t>
      </w:r>
      <w:r w:rsidR="007F12CB" w:rsidRPr="007B3BB8">
        <w:t xml:space="preserve">technological </w:t>
      </w:r>
      <w:r w:rsidR="0059000E">
        <w:t>mastery</w:t>
      </w:r>
      <w:r w:rsidRPr="007B3BB8">
        <w:t xml:space="preserve"> with normative assessments of what such futures </w:t>
      </w:r>
      <w:r w:rsidR="00003561">
        <w:t xml:space="preserve">could and </w:t>
      </w:r>
      <w:r w:rsidR="0035230B">
        <w:t>should</w:t>
      </w:r>
      <w:r w:rsidRPr="007B3BB8">
        <w:t xml:space="preserve"> mean for present-day societies.  Utopic or dystopic, </w:t>
      </w:r>
      <w:r w:rsidR="000B3A71" w:rsidRPr="007B3BB8">
        <w:t>these</w:t>
      </w:r>
      <w:r w:rsidRPr="007B3BB8">
        <w:t xml:space="preserve"> fictions underscore the </w:t>
      </w:r>
      <w:r w:rsidR="004E287A" w:rsidRPr="007B3BB8">
        <w:t>self-evident</w:t>
      </w:r>
      <w:r w:rsidRPr="007B3BB8">
        <w:t xml:space="preserve"> truth that </w:t>
      </w:r>
      <w:r w:rsidR="007F0AA4" w:rsidRPr="007B3BB8">
        <w:t>technologically</w:t>
      </w:r>
      <w:r w:rsidRPr="007B3BB8">
        <w:t xml:space="preserve"> enabled futures are also value-laden </w:t>
      </w:r>
      <w:r w:rsidR="004E287A" w:rsidRPr="007B3BB8">
        <w:t xml:space="preserve">futures.  </w:t>
      </w:r>
      <w:r w:rsidR="000B3A71" w:rsidRPr="007B3BB8">
        <w:t>Science fiction</w:t>
      </w:r>
      <w:r w:rsidR="004E287A" w:rsidRPr="007B3BB8">
        <w:t xml:space="preserve"> </w:t>
      </w:r>
      <w:r w:rsidR="000B3A71" w:rsidRPr="007B3BB8">
        <w:t xml:space="preserve">stories </w:t>
      </w:r>
      <w:r w:rsidR="007F52C8" w:rsidRPr="007B3BB8">
        <w:t xml:space="preserve">express </w:t>
      </w:r>
      <w:r w:rsidR="00783FEE" w:rsidRPr="007B3BB8">
        <w:t xml:space="preserve">fears </w:t>
      </w:r>
      <w:r w:rsidR="00783FEE">
        <w:t>and yearnings</w:t>
      </w:r>
      <w:r w:rsidR="007F52C8" w:rsidRPr="007B3BB8">
        <w:t xml:space="preserve"> that </w:t>
      </w:r>
      <w:r w:rsidR="00503B76" w:rsidRPr="007B3BB8">
        <w:t xml:space="preserve">are rooted in </w:t>
      </w:r>
      <w:r w:rsidR="00783FEE">
        <w:t>current</w:t>
      </w:r>
      <w:r w:rsidR="00503B76" w:rsidRPr="007B3BB8">
        <w:t xml:space="preserve"> </w:t>
      </w:r>
      <w:r w:rsidR="0008098A" w:rsidRPr="007B3BB8">
        <w:t>discontents</w:t>
      </w:r>
      <w:r w:rsidR="001925F7" w:rsidRPr="007B3BB8">
        <w:t xml:space="preserve">, </w:t>
      </w:r>
      <w:r w:rsidR="0035230B">
        <w:t xml:space="preserve">either </w:t>
      </w:r>
      <w:r w:rsidR="001925F7" w:rsidRPr="007B3BB8">
        <w:t>signal</w:t>
      </w:r>
      <w:r w:rsidR="0035230B">
        <w:t>ing</w:t>
      </w:r>
      <w:r w:rsidR="001925F7" w:rsidRPr="007B3BB8">
        <w:t xml:space="preserve"> possible escape routes or paint</w:t>
      </w:r>
      <w:r w:rsidR="0035230B">
        <w:t>ing</w:t>
      </w:r>
      <w:r w:rsidR="001925F7" w:rsidRPr="007B3BB8">
        <w:t xml:space="preserve"> in morbid colors the horrific consequences of heedlessness in the present</w:t>
      </w:r>
      <w:r w:rsidR="000B3A71" w:rsidRPr="007B3BB8">
        <w:t>.  T</w:t>
      </w:r>
      <w:r w:rsidR="00503B76" w:rsidRPr="007B3BB8">
        <w:t>hey thus offer a d</w:t>
      </w:r>
      <w:r w:rsidR="000B3A71" w:rsidRPr="007B3BB8">
        <w:t xml:space="preserve">eeper look into—possibly even </w:t>
      </w:r>
      <w:r w:rsidR="00503B76" w:rsidRPr="007B3BB8">
        <w:t>prediction</w:t>
      </w:r>
      <w:r w:rsidR="0008098A" w:rsidRPr="007B3BB8">
        <w:t>s</w:t>
      </w:r>
      <w:r w:rsidR="00503B76" w:rsidRPr="007B3BB8">
        <w:t xml:space="preserve"> of—what </w:t>
      </w:r>
      <w:r w:rsidR="00783FEE">
        <w:t xml:space="preserve">harms </w:t>
      </w:r>
      <w:r w:rsidR="00503B76" w:rsidRPr="007B3BB8">
        <w:t xml:space="preserve">societies </w:t>
      </w:r>
      <w:r w:rsidR="001925F7" w:rsidRPr="007B3BB8">
        <w:t>are most desperate</w:t>
      </w:r>
      <w:r w:rsidR="00503B76" w:rsidRPr="007B3BB8">
        <w:t xml:space="preserve"> to </w:t>
      </w:r>
      <w:r w:rsidR="00D97272">
        <w:t>avoid</w:t>
      </w:r>
      <w:r w:rsidR="0035230B" w:rsidRPr="0035230B">
        <w:t xml:space="preserve"> </w:t>
      </w:r>
      <w:r w:rsidR="0035230B" w:rsidRPr="007B3BB8">
        <w:t xml:space="preserve">and what </w:t>
      </w:r>
      <w:r w:rsidR="00783FEE">
        <w:t xml:space="preserve">good </w:t>
      </w:r>
      <w:r w:rsidR="0035230B" w:rsidRPr="007B3BB8">
        <w:t>they</w:t>
      </w:r>
      <w:r w:rsidR="0035230B" w:rsidRPr="0035230B">
        <w:t xml:space="preserve"> </w:t>
      </w:r>
      <w:r w:rsidR="0035230B" w:rsidRPr="007B3BB8">
        <w:t>may achieve</w:t>
      </w:r>
      <w:r w:rsidR="0035230B">
        <w:t xml:space="preserve"> through foresight and imagination</w:t>
      </w:r>
      <w:r w:rsidR="00503B76" w:rsidRPr="007B3BB8">
        <w:t xml:space="preserve">.  </w:t>
      </w:r>
    </w:p>
    <w:p w14:paraId="23412975" w14:textId="604A92DE" w:rsidR="000B3A71" w:rsidRPr="007B3BB8" w:rsidRDefault="00503B76" w:rsidP="000B3A71">
      <w:pPr>
        <w:spacing w:line="480" w:lineRule="auto"/>
        <w:ind w:firstLine="720"/>
      </w:pPr>
      <w:r w:rsidRPr="007B3BB8">
        <w:t xml:space="preserve">Marking its </w:t>
      </w:r>
      <w:r w:rsidR="00656D41" w:rsidRPr="007B3BB8">
        <w:t>fiftieth</w:t>
      </w:r>
      <w:r w:rsidR="006E744F" w:rsidRPr="007B3BB8">
        <w:t xml:space="preserve"> anniversary in 2013, </w:t>
      </w:r>
      <w:r w:rsidRPr="007B3BB8">
        <w:t xml:space="preserve">the celebrated British television </w:t>
      </w:r>
      <w:r w:rsidR="00656D41" w:rsidRPr="007B3BB8">
        <w:t>series</w:t>
      </w:r>
      <w:r w:rsidRPr="007B3BB8">
        <w:t xml:space="preserve"> </w:t>
      </w:r>
      <w:r w:rsidRPr="007B3BB8">
        <w:rPr>
          <w:i/>
        </w:rPr>
        <w:t>Doctor Who</w:t>
      </w:r>
      <w:r w:rsidR="00656D41" w:rsidRPr="007B3BB8">
        <w:t xml:space="preserve">, </w:t>
      </w:r>
      <w:r w:rsidR="00122567" w:rsidRPr="007B3BB8">
        <w:t>the</w:t>
      </w:r>
      <w:r w:rsidR="00656D41" w:rsidRPr="007B3BB8">
        <w:t xml:space="preserve"> longest running science fiction show ever</w:t>
      </w:r>
      <w:r w:rsidR="001925F7" w:rsidRPr="007B3BB8">
        <w:t>,</w:t>
      </w:r>
      <w:r w:rsidR="0057788B" w:rsidRPr="007B3BB8">
        <w:t xml:space="preserve"> and like James Bond a </w:t>
      </w:r>
      <w:r w:rsidR="001925F7" w:rsidRPr="007B3BB8">
        <w:lastRenderedPageBreak/>
        <w:t>marker</w:t>
      </w:r>
      <w:r w:rsidR="0057788B" w:rsidRPr="007B3BB8">
        <w:t xml:space="preserve"> of Britain’s </w:t>
      </w:r>
      <w:r w:rsidR="00783FEE">
        <w:t xml:space="preserve">high </w:t>
      </w:r>
      <w:r w:rsidR="0057788B" w:rsidRPr="007B3BB8">
        <w:t xml:space="preserve">cultural </w:t>
      </w:r>
      <w:r w:rsidR="00004A3F" w:rsidRPr="007B3BB8">
        <w:t>standing</w:t>
      </w:r>
      <w:r w:rsidR="00656D41" w:rsidRPr="007B3BB8">
        <w:t xml:space="preserve">, </w:t>
      </w:r>
      <w:r w:rsidR="004E287A" w:rsidRPr="007B3BB8">
        <w:t>gave</w:t>
      </w:r>
      <w:r w:rsidRPr="007B3BB8">
        <w:t xml:space="preserve"> </w:t>
      </w:r>
      <w:r w:rsidRPr="007B3BB8">
        <w:rPr>
          <w:i/>
        </w:rPr>
        <w:t>New Statesman</w:t>
      </w:r>
      <w:r w:rsidRPr="007B3BB8">
        <w:t xml:space="preserve"> columnist Laurie Penney a</w:t>
      </w:r>
      <w:r w:rsidR="004E287A" w:rsidRPr="007B3BB8">
        <w:t xml:space="preserve"> chance</w:t>
      </w:r>
      <w:r w:rsidRPr="007B3BB8">
        <w:t xml:space="preserve"> to </w:t>
      </w:r>
      <w:r w:rsidR="001925F7" w:rsidRPr="007B3BB8">
        <w:t>comment</w:t>
      </w:r>
      <w:r w:rsidRPr="007B3BB8">
        <w:t xml:space="preserve"> on fiction’s power to shape the future</w:t>
      </w:r>
      <w:r w:rsidR="006E744F" w:rsidRPr="007B3BB8">
        <w:t xml:space="preserve">.  The time-traveling Doctor, </w:t>
      </w:r>
      <w:r w:rsidR="00C345C7" w:rsidRPr="007B3BB8">
        <w:t>Penney</w:t>
      </w:r>
      <w:r w:rsidR="006E744F" w:rsidRPr="007B3BB8">
        <w:t xml:space="preserve"> noted, had gone through </w:t>
      </w:r>
      <w:r w:rsidR="00A074E8" w:rsidRPr="007B3BB8">
        <w:t>numerous</w:t>
      </w:r>
      <w:r w:rsidR="006E744F" w:rsidRPr="007B3BB8">
        <w:t xml:space="preserve"> incarnations in the show’s half-century of </w:t>
      </w:r>
      <w:r w:rsidR="00656D41" w:rsidRPr="007B3BB8">
        <w:t>colonizing</w:t>
      </w:r>
      <w:r w:rsidR="006E744F" w:rsidRPr="007B3BB8">
        <w:t xml:space="preserve"> the </w:t>
      </w:r>
      <w:r w:rsidR="00A074E8" w:rsidRPr="007B3BB8">
        <w:t xml:space="preserve">national </w:t>
      </w:r>
      <w:r w:rsidR="00FF09DE">
        <w:t>psyche</w:t>
      </w:r>
      <w:r w:rsidR="006E744F" w:rsidRPr="007B3BB8">
        <w:t xml:space="preserve">, with a third of the </w:t>
      </w:r>
      <w:r w:rsidR="00A074E8" w:rsidRPr="007B3BB8">
        <w:t xml:space="preserve">British </w:t>
      </w:r>
      <w:r w:rsidR="006E744F" w:rsidRPr="007B3BB8">
        <w:t xml:space="preserve">population </w:t>
      </w:r>
      <w:r w:rsidR="00C345C7" w:rsidRPr="007B3BB8">
        <w:t>tuning in to</w:t>
      </w:r>
      <w:r w:rsidR="006E744F" w:rsidRPr="007B3BB8">
        <w:t xml:space="preserve"> the series.  Yet, though change was built into the </w:t>
      </w:r>
      <w:r w:rsidR="00336562">
        <w:t>plot line</w:t>
      </w:r>
      <w:r w:rsidR="00656D41" w:rsidRPr="007B3BB8">
        <w:t xml:space="preserve"> from early on</w:t>
      </w:r>
      <w:r w:rsidR="006E744F" w:rsidRPr="007B3BB8">
        <w:t xml:space="preserve">, </w:t>
      </w:r>
      <w:r w:rsidR="00656D41" w:rsidRPr="007B3BB8">
        <w:t xml:space="preserve">the </w:t>
      </w:r>
      <w:r w:rsidR="00A074E8" w:rsidRPr="007B3BB8">
        <w:t>eleven</w:t>
      </w:r>
      <w:r w:rsidR="006E744F" w:rsidRPr="007B3BB8">
        <w:t xml:space="preserve"> Doctor</w:t>
      </w:r>
      <w:r w:rsidR="00A074E8" w:rsidRPr="007B3BB8">
        <w:t>s</w:t>
      </w:r>
      <w:r w:rsidR="006E744F" w:rsidRPr="007B3BB8">
        <w:t xml:space="preserve"> </w:t>
      </w:r>
      <w:r w:rsidR="00656D41" w:rsidRPr="007B3BB8">
        <w:t xml:space="preserve">since the show’s inception </w:t>
      </w:r>
      <w:r w:rsidR="006E744F" w:rsidRPr="007B3BB8">
        <w:t xml:space="preserve">had </w:t>
      </w:r>
      <w:r w:rsidR="00656D41" w:rsidRPr="007B3BB8">
        <w:t xml:space="preserve">all </w:t>
      </w:r>
      <w:r w:rsidR="006E744F" w:rsidRPr="007B3BB8">
        <w:t xml:space="preserve">been </w:t>
      </w:r>
      <w:r w:rsidR="00A074E8" w:rsidRPr="007B3BB8">
        <w:t>white me</w:t>
      </w:r>
      <w:r w:rsidR="006E744F" w:rsidRPr="007B3BB8">
        <w:t xml:space="preserve">n.  Arguing that it was time to </w:t>
      </w:r>
      <w:r w:rsidR="00A074E8" w:rsidRPr="007B3BB8">
        <w:t xml:space="preserve">shift </w:t>
      </w:r>
      <w:r w:rsidR="006E744F" w:rsidRPr="007B3BB8">
        <w:t xml:space="preserve">basic assumptions about the Doctor’s color and gender, Penney </w:t>
      </w:r>
      <w:r w:rsidR="00556F0D" w:rsidRPr="007B3BB8">
        <w:t xml:space="preserve">(2013:21) </w:t>
      </w:r>
      <w:r w:rsidR="006E744F" w:rsidRPr="007B3BB8">
        <w:t>observed, “</w:t>
      </w:r>
      <w:r w:rsidR="00556F0D" w:rsidRPr="007B3BB8">
        <w:t>Sweeping social change usually happens in stories first</w:t>
      </w:r>
      <w:r w:rsidR="00656D41" w:rsidRPr="007B3BB8">
        <w:t>,</w:t>
      </w:r>
      <w:r w:rsidR="00556F0D" w:rsidRPr="007B3BB8">
        <w:t xml:space="preserve"> and science fiction often has an agenda.  What could be more political, after all, than imagining the future?”</w:t>
      </w:r>
      <w:r w:rsidR="008F6786" w:rsidRPr="007B3BB8">
        <w:t xml:space="preserve">  </w:t>
      </w:r>
      <w:r w:rsidR="000B3A71" w:rsidRPr="007B3BB8">
        <w:t xml:space="preserve">Indeed! </w:t>
      </w:r>
      <w:r w:rsidR="00962CC8">
        <w:t xml:space="preserve"> T</w:t>
      </w:r>
      <w:r w:rsidR="00004A3F" w:rsidRPr="007B3BB8">
        <w:t xml:space="preserve">he twelfth Doctor, </w:t>
      </w:r>
      <w:r w:rsidR="00DF0CC6">
        <w:t xml:space="preserve">Peter Capaldi, </w:t>
      </w:r>
      <w:r w:rsidR="00B53D13">
        <w:t xml:space="preserve">however, </w:t>
      </w:r>
      <w:r w:rsidR="00472199" w:rsidRPr="007B3BB8">
        <w:t xml:space="preserve">was </w:t>
      </w:r>
      <w:r w:rsidR="00004A3F" w:rsidRPr="007B3BB8">
        <w:t xml:space="preserve">not </w:t>
      </w:r>
      <w:r w:rsidR="00472199" w:rsidRPr="007B3BB8">
        <w:t xml:space="preserve">to be the harbinger of </w:t>
      </w:r>
      <w:r w:rsidR="00004A3F" w:rsidRPr="007B3BB8">
        <w:t>that particular revolution.</w:t>
      </w:r>
      <w:r w:rsidR="000B3A71" w:rsidRPr="007B3BB8">
        <w:t xml:space="preserve"> </w:t>
      </w:r>
    </w:p>
    <w:p w14:paraId="15E044A6" w14:textId="5D832DDB" w:rsidR="00A074E8" w:rsidRPr="007B3BB8" w:rsidRDefault="00495DC9" w:rsidP="000B3A71">
      <w:pPr>
        <w:spacing w:line="480" w:lineRule="auto"/>
        <w:ind w:firstLine="720"/>
      </w:pPr>
      <w:r w:rsidRPr="007B3BB8">
        <w:t xml:space="preserve">This volume attests to the </w:t>
      </w:r>
      <w:r w:rsidR="00472199" w:rsidRPr="007B3BB8">
        <w:t xml:space="preserve">basic </w:t>
      </w:r>
      <w:r w:rsidRPr="007B3BB8">
        <w:t>rightness of Penney’s intuition—</w:t>
      </w:r>
      <w:r w:rsidR="008979D9" w:rsidRPr="007B3BB8">
        <w:t>that imagining the future</w:t>
      </w:r>
      <w:r w:rsidRPr="007B3BB8">
        <w:t xml:space="preserve"> is political—but </w:t>
      </w:r>
      <w:r w:rsidR="00472199" w:rsidRPr="007B3BB8">
        <w:t xml:space="preserve">it </w:t>
      </w:r>
      <w:r w:rsidRPr="007B3BB8">
        <w:t xml:space="preserve">carries </w:t>
      </w:r>
      <w:r w:rsidR="00A074E8" w:rsidRPr="007B3BB8">
        <w:t>that intuition</w:t>
      </w:r>
      <w:r w:rsidRPr="007B3BB8">
        <w:t xml:space="preserve"> one </w:t>
      </w:r>
      <w:r w:rsidR="00274A70">
        <w:t xml:space="preserve">symmetrical </w:t>
      </w:r>
      <w:bookmarkStart w:id="0" w:name="_GoBack"/>
      <w:bookmarkEnd w:id="0"/>
      <w:r w:rsidRPr="007B3BB8">
        <w:t xml:space="preserve">step </w:t>
      </w:r>
      <w:r w:rsidR="008F6786" w:rsidRPr="007B3BB8">
        <w:t>forward</w:t>
      </w:r>
      <w:r w:rsidRPr="007B3BB8">
        <w:t xml:space="preserve">, showing that political </w:t>
      </w:r>
      <w:r w:rsidR="008979D9" w:rsidRPr="007B3BB8">
        <w:t xml:space="preserve">action </w:t>
      </w:r>
      <w:r w:rsidRPr="007B3BB8">
        <w:t>is also profoundly imaginative</w:t>
      </w:r>
      <w:r w:rsidR="00A074E8" w:rsidRPr="007B3BB8">
        <w:t xml:space="preserve">.  </w:t>
      </w:r>
      <w:r w:rsidR="00800E2E" w:rsidRPr="007B3BB8">
        <w:t xml:space="preserve">People, in Penney’s view, “do the work of changing the world—but stories give us permission to reimagine it” (Penney 2013:21).  </w:t>
      </w:r>
      <w:r w:rsidR="000B3A71" w:rsidRPr="007B3BB8">
        <w:t>That</w:t>
      </w:r>
      <w:r w:rsidR="00800E2E" w:rsidRPr="007B3BB8">
        <w:t xml:space="preserve"> statement overlooks the degree to which the political life of societies is itself a form of collective story-telling</w:t>
      </w:r>
      <w:r w:rsidR="00472199" w:rsidRPr="007B3BB8">
        <w:t>,</w:t>
      </w:r>
      <w:r w:rsidR="00800E2E" w:rsidRPr="007B3BB8">
        <w:t xml:space="preserve"> a joint and several imagining of the purposes and </w:t>
      </w:r>
      <w:r w:rsidR="003C1B05" w:rsidRPr="007B3BB8">
        <w:t xml:space="preserve">the </w:t>
      </w:r>
      <w:r w:rsidR="00800E2E" w:rsidRPr="007B3BB8">
        <w:t>potential of living and working together</w:t>
      </w:r>
      <w:r w:rsidR="00795764" w:rsidRPr="007B3BB8">
        <w:t xml:space="preserve"> on an Earth at once malleable and constraining</w:t>
      </w:r>
      <w:r w:rsidR="00800E2E" w:rsidRPr="007B3BB8">
        <w:t>.</w:t>
      </w:r>
      <w:r w:rsidR="00A074E8" w:rsidRPr="007B3BB8">
        <w:t xml:space="preserve">  Political imaginaries shape the future as they </w:t>
      </w:r>
      <w:r w:rsidR="0057788B" w:rsidRPr="007B3BB8">
        <w:t xml:space="preserve">reinscribe or </w:t>
      </w:r>
      <w:r w:rsidR="00A074E8" w:rsidRPr="007B3BB8">
        <w:t xml:space="preserve">reconfigure the past (see Ezrahi 2012).  </w:t>
      </w:r>
      <w:r w:rsidR="003C1B05" w:rsidRPr="007B3BB8">
        <w:t xml:space="preserve">Politics, in other words, continually </w:t>
      </w:r>
      <w:r w:rsidR="00656D41" w:rsidRPr="007B3BB8">
        <w:t xml:space="preserve">enacts, and </w:t>
      </w:r>
      <w:r w:rsidR="000B3A71" w:rsidRPr="007B3BB8">
        <w:t>therefore</w:t>
      </w:r>
      <w:r w:rsidR="00656D41" w:rsidRPr="007B3BB8">
        <w:t xml:space="preserve"> also </w:t>
      </w:r>
      <w:r w:rsidR="00795764" w:rsidRPr="007B3BB8">
        <w:t>engenders</w:t>
      </w:r>
      <w:r w:rsidR="00656D41" w:rsidRPr="007B3BB8">
        <w:t>,</w:t>
      </w:r>
      <w:r w:rsidR="003C1B05" w:rsidRPr="007B3BB8">
        <w:t xml:space="preserve"> the dreamscapes of modernity</w:t>
      </w:r>
      <w:r w:rsidR="00795764" w:rsidRPr="007B3BB8">
        <w:t>.  T</w:t>
      </w:r>
      <w:r w:rsidR="003C1B05" w:rsidRPr="007B3BB8">
        <w:t xml:space="preserve">his volume has </w:t>
      </w:r>
      <w:r w:rsidR="00795764" w:rsidRPr="007B3BB8">
        <w:t xml:space="preserve">sought to </w:t>
      </w:r>
      <w:r w:rsidR="0022179E" w:rsidRPr="007B3BB8">
        <w:t>establish</w:t>
      </w:r>
      <w:r w:rsidR="003C1B05" w:rsidRPr="007B3BB8">
        <w:t xml:space="preserve"> the </w:t>
      </w:r>
      <w:r w:rsidR="00795764" w:rsidRPr="007B3BB8">
        <w:t>centrality of science and technology in those acts of i</w:t>
      </w:r>
      <w:r w:rsidR="0022179E" w:rsidRPr="007B3BB8">
        <w:t>magining, not only through the</w:t>
      </w:r>
      <w:r w:rsidR="00795764" w:rsidRPr="007B3BB8">
        <w:t xml:space="preserve"> material productions </w:t>
      </w:r>
      <w:r w:rsidR="0022179E" w:rsidRPr="007B3BB8">
        <w:t xml:space="preserve">of technoscience, </w:t>
      </w:r>
      <w:r w:rsidR="00795764" w:rsidRPr="007B3BB8">
        <w:t xml:space="preserve">but through the very ideas </w:t>
      </w:r>
      <w:r w:rsidR="0057788B" w:rsidRPr="007B3BB8">
        <w:t xml:space="preserve">and practices </w:t>
      </w:r>
      <w:r w:rsidR="00795764" w:rsidRPr="007B3BB8">
        <w:t xml:space="preserve">of “science” and “technology” as formative, and normative, forces in the world.  </w:t>
      </w:r>
    </w:p>
    <w:p w14:paraId="57B6514C" w14:textId="09598D99" w:rsidR="001B7F3D" w:rsidRPr="007B3BB8" w:rsidRDefault="00795764" w:rsidP="00A074E8">
      <w:pPr>
        <w:spacing w:line="480" w:lineRule="auto"/>
        <w:ind w:firstLine="720"/>
      </w:pPr>
      <w:r w:rsidRPr="007B3BB8">
        <w:lastRenderedPageBreak/>
        <w:t>Politics, in th</w:t>
      </w:r>
      <w:r w:rsidR="0022179E" w:rsidRPr="007B3BB8">
        <w:t>e terminology of this volume, is a space in which socio</w:t>
      </w:r>
      <w:r w:rsidR="00162A1E" w:rsidRPr="007B3BB8">
        <w:t xml:space="preserve">technical imaginaries originate and flourish.  </w:t>
      </w:r>
      <w:r w:rsidR="00E80935" w:rsidRPr="007B3BB8">
        <w:t>T</w:t>
      </w:r>
      <w:r w:rsidR="00C544CA">
        <w:t xml:space="preserve">hose imaginaries help explain </w:t>
      </w:r>
      <w:r w:rsidR="0022179E" w:rsidRPr="007B3BB8">
        <w:t>why societies differ</w:t>
      </w:r>
      <w:r w:rsidR="008C539A" w:rsidRPr="007B3BB8">
        <w:t xml:space="preserve"> (Burri, Felt)</w:t>
      </w:r>
      <w:r w:rsidR="0022179E" w:rsidRPr="007B3BB8">
        <w:t>, how they evolve through time</w:t>
      </w:r>
      <w:r w:rsidR="008C539A" w:rsidRPr="007B3BB8">
        <w:t xml:space="preserve"> (Dennis</w:t>
      </w:r>
      <w:r w:rsidR="0057788B" w:rsidRPr="007B3BB8">
        <w:t>, Kim</w:t>
      </w:r>
      <w:r w:rsidR="008C539A" w:rsidRPr="007B3BB8">
        <w:t>, Moon, Storey)</w:t>
      </w:r>
      <w:r w:rsidR="0022179E" w:rsidRPr="007B3BB8">
        <w:t xml:space="preserve">, </w:t>
      </w:r>
      <w:r w:rsidR="00D965FA" w:rsidRPr="007B3BB8">
        <w:t xml:space="preserve">how </w:t>
      </w:r>
      <w:r w:rsidR="00E80935" w:rsidRPr="007B3BB8">
        <w:t>powerful visions</w:t>
      </w:r>
      <w:r w:rsidR="00D965FA" w:rsidRPr="007B3BB8">
        <w:t xml:space="preserve"> spr</w:t>
      </w:r>
      <w:r w:rsidR="00E80935" w:rsidRPr="007B3BB8">
        <w:t>ead through space</w:t>
      </w:r>
      <w:r w:rsidR="008C539A" w:rsidRPr="007B3BB8">
        <w:t xml:space="preserve"> (Bowman, Chen, Lakoff, Miller, Smith)</w:t>
      </w:r>
      <w:r w:rsidR="00E80935" w:rsidRPr="007B3BB8">
        <w:t>, and how they</w:t>
      </w:r>
      <w:r w:rsidR="00D965FA" w:rsidRPr="007B3BB8">
        <w:t xml:space="preserve"> in turn </w:t>
      </w:r>
      <w:r w:rsidR="008F6786" w:rsidRPr="007B3BB8">
        <w:t>burrow into</w:t>
      </w:r>
      <w:r w:rsidR="00D965FA" w:rsidRPr="007B3BB8">
        <w:t xml:space="preserve"> human identity and subjectivity</w:t>
      </w:r>
      <w:r w:rsidR="008C539A" w:rsidRPr="007B3BB8">
        <w:t xml:space="preserve"> (Barker, Felt)</w:t>
      </w:r>
      <w:r w:rsidR="00D965FA" w:rsidRPr="007B3BB8">
        <w:t>.</w:t>
      </w:r>
      <w:r w:rsidR="00A074E8" w:rsidRPr="007B3BB8">
        <w:t xml:space="preserve">  </w:t>
      </w:r>
      <w:r w:rsidR="002B04DC" w:rsidRPr="007B3BB8">
        <w:t xml:space="preserve">The framework of imaginaries </w:t>
      </w:r>
      <w:r w:rsidR="00201E12" w:rsidRPr="007B3BB8">
        <w:t>allows analyst</w:t>
      </w:r>
      <w:r w:rsidR="00FE2E16" w:rsidRPr="007B3BB8">
        <w:t xml:space="preserve">s to </w:t>
      </w:r>
      <w:r w:rsidR="00201E12" w:rsidRPr="007B3BB8">
        <w:t>gain purchase on the dynamic</w:t>
      </w:r>
      <w:r w:rsidR="00DD3B76" w:rsidRPr="007B3BB8">
        <w:t>s</w:t>
      </w:r>
      <w:r w:rsidR="00201E12" w:rsidRPr="007B3BB8">
        <w:t xml:space="preserve"> of </w:t>
      </w:r>
      <w:r w:rsidR="00472199" w:rsidRPr="007B3BB8">
        <w:t>social change</w:t>
      </w:r>
      <w:r w:rsidR="00201E12" w:rsidRPr="007B3BB8">
        <w:t xml:space="preserve">, asking how reality comes about </w:t>
      </w:r>
      <w:r w:rsidR="00C544CA">
        <w:t>at any given moment</w:t>
      </w:r>
      <w:r w:rsidR="008C539A" w:rsidRPr="007B3BB8">
        <w:t xml:space="preserve"> </w:t>
      </w:r>
      <w:r w:rsidR="00201E12" w:rsidRPr="007B3BB8">
        <w:t xml:space="preserve">rather than taking </w:t>
      </w:r>
      <w:r w:rsidR="00E80935" w:rsidRPr="007B3BB8">
        <w:t xml:space="preserve">the </w:t>
      </w:r>
      <w:r w:rsidR="00C544CA">
        <w:t>plainly</w:t>
      </w:r>
      <w:r w:rsidR="00E80935" w:rsidRPr="007B3BB8">
        <w:t xml:space="preserve"> visible structures of society </w:t>
      </w:r>
      <w:r w:rsidR="00201E12" w:rsidRPr="007B3BB8">
        <w:t>for granted.</w:t>
      </w:r>
      <w:r w:rsidR="00DD3B76" w:rsidRPr="007B3BB8">
        <w:t xml:space="preserve">  In this respect, sociotechnical imaginaries are </w:t>
      </w:r>
      <w:r w:rsidR="00E80935" w:rsidRPr="007B3BB8">
        <w:t xml:space="preserve">part of the repertoire of </w:t>
      </w:r>
      <w:r w:rsidR="00472199" w:rsidRPr="007B3BB8">
        <w:t xml:space="preserve">the </w:t>
      </w:r>
      <w:r w:rsidR="00DD3B76" w:rsidRPr="007B3BB8">
        <w:t xml:space="preserve">constructivist </w:t>
      </w:r>
      <w:r w:rsidR="007F0AA4" w:rsidRPr="007B3BB8">
        <w:t>and</w:t>
      </w:r>
      <w:r w:rsidR="00E80935" w:rsidRPr="007B3BB8">
        <w:t xml:space="preserve"> interpretive </w:t>
      </w:r>
      <w:r w:rsidR="00656D41" w:rsidRPr="007B3BB8">
        <w:t>social sciences</w:t>
      </w:r>
      <w:r w:rsidR="00E80935" w:rsidRPr="007B3BB8">
        <w:t xml:space="preserve">.  They consistently </w:t>
      </w:r>
      <w:r w:rsidR="00AD5ED3" w:rsidRPr="007B3BB8">
        <w:t>direct</w:t>
      </w:r>
      <w:r w:rsidR="00E80935" w:rsidRPr="007B3BB8">
        <w:t xml:space="preserve"> our attention toward </w:t>
      </w:r>
      <w:r w:rsidR="003C1B00" w:rsidRPr="007B3BB8">
        <w:t xml:space="preserve">the practices of </w:t>
      </w:r>
      <w:r w:rsidR="00E80935" w:rsidRPr="007B3BB8">
        <w:t>collective sense-making</w:t>
      </w:r>
      <w:r w:rsidR="00217546" w:rsidRPr="007B3BB8">
        <w:t xml:space="preserve"> and the tacit assumptions that </w:t>
      </w:r>
      <w:r w:rsidR="007B5657" w:rsidRPr="007B3BB8">
        <w:t>allow</w:t>
      </w:r>
      <w:r w:rsidR="00656D41" w:rsidRPr="007B3BB8">
        <w:t xml:space="preserve"> collect</w:t>
      </w:r>
      <w:r w:rsidR="001B3588" w:rsidRPr="007B3BB8">
        <w:t xml:space="preserve">ives </w:t>
      </w:r>
      <w:r w:rsidR="007B5657" w:rsidRPr="007B3BB8">
        <w:t xml:space="preserve">to </w:t>
      </w:r>
      <w:r w:rsidR="001B3588" w:rsidRPr="007B3BB8">
        <w:t xml:space="preserve">hold together in </w:t>
      </w:r>
      <w:r w:rsidR="0057788B" w:rsidRPr="007B3BB8">
        <w:t>understandable</w:t>
      </w:r>
      <w:r w:rsidR="00024DB7" w:rsidRPr="007B3BB8">
        <w:t>,</w:t>
      </w:r>
      <w:r w:rsidR="0057788B" w:rsidRPr="007B3BB8">
        <w:t xml:space="preserve"> </w:t>
      </w:r>
      <w:r w:rsidR="001B3588" w:rsidRPr="007B3BB8">
        <w:t>sustainable</w:t>
      </w:r>
      <w:r w:rsidR="00472199" w:rsidRPr="007B3BB8">
        <w:t>, livable</w:t>
      </w:r>
      <w:r w:rsidR="00656D41" w:rsidRPr="007B3BB8">
        <w:t xml:space="preserve"> </w:t>
      </w:r>
      <w:r w:rsidR="008C539A" w:rsidRPr="007B3BB8">
        <w:t>modes of being</w:t>
      </w:r>
      <w:r w:rsidR="00656D41" w:rsidRPr="007B3BB8">
        <w:t>.</w:t>
      </w:r>
    </w:p>
    <w:p w14:paraId="0859A4E8" w14:textId="77777777" w:rsidR="002074FE" w:rsidRPr="007B3BB8" w:rsidRDefault="004B420A" w:rsidP="00CD331C">
      <w:pPr>
        <w:spacing w:line="480" w:lineRule="auto"/>
        <w:ind w:firstLine="720"/>
      </w:pPr>
      <w:r w:rsidRPr="007B3BB8">
        <w:t>Reading across</w:t>
      </w:r>
      <w:r w:rsidR="001B3588" w:rsidRPr="007B3BB8">
        <w:t xml:space="preserve"> the </w:t>
      </w:r>
      <w:r w:rsidR="00122567" w:rsidRPr="007B3BB8">
        <w:t xml:space="preserve">preceding </w:t>
      </w:r>
      <w:r w:rsidR="001B3588" w:rsidRPr="007B3BB8">
        <w:t xml:space="preserve">chapters, we have identified four phases in the </w:t>
      </w:r>
      <w:r w:rsidR="0057788B" w:rsidRPr="007B3BB8">
        <w:t>construction</w:t>
      </w:r>
      <w:r w:rsidR="001B3588" w:rsidRPr="007B3BB8">
        <w:t xml:space="preserve"> of </w:t>
      </w:r>
      <w:r w:rsidR="004B5890" w:rsidRPr="007B3BB8">
        <w:t xml:space="preserve">sociotechnical </w:t>
      </w:r>
      <w:r w:rsidR="001B3588" w:rsidRPr="007B3BB8">
        <w:t>imaginaries</w:t>
      </w:r>
      <w:r w:rsidR="00122567" w:rsidRPr="007B3BB8">
        <w:t>: origins, embedding, resistance</w:t>
      </w:r>
      <w:r w:rsidR="00472199" w:rsidRPr="007B3BB8">
        <w:t>, and extension</w:t>
      </w:r>
      <w:r w:rsidR="00122567" w:rsidRPr="007B3BB8">
        <w:t xml:space="preserve">.  </w:t>
      </w:r>
      <w:r w:rsidR="007B5657" w:rsidRPr="007B3BB8">
        <w:t>In</w:t>
      </w:r>
      <w:r w:rsidR="00122567" w:rsidRPr="007B3BB8">
        <w:t xml:space="preserve"> each</w:t>
      </w:r>
      <w:r w:rsidR="007B5657" w:rsidRPr="007B3BB8">
        <w:t xml:space="preserve"> phase</w:t>
      </w:r>
      <w:r w:rsidR="00122567" w:rsidRPr="007B3BB8">
        <w:t>, there is a</w:t>
      </w:r>
      <w:r w:rsidR="00472199" w:rsidRPr="007B3BB8">
        <w:t xml:space="preserve"> tension</w:t>
      </w:r>
      <w:r w:rsidR="00122567" w:rsidRPr="007B3BB8">
        <w:t xml:space="preserve"> between stability and change which the lens of imaginaries permits us to interrogate more closely.</w:t>
      </w:r>
      <w:r w:rsidR="00961928" w:rsidRPr="007B3BB8">
        <w:t xml:space="preserve">  That </w:t>
      </w:r>
      <w:r w:rsidR="00472199" w:rsidRPr="007B3BB8">
        <w:t>push and pull</w:t>
      </w:r>
      <w:r w:rsidRPr="007B3BB8">
        <w:t xml:space="preserve"> is perhaps clearest in the phase of resistance, which can block change as well as facilitate it.  The Indonesian stories told by Moon and Barker suggest, however, that resistance is most likely to lead to reorderings of technology and society when </w:t>
      </w:r>
      <w:r w:rsidR="008C539A" w:rsidRPr="007B3BB8">
        <w:t>an</w:t>
      </w:r>
      <w:r w:rsidRPr="007B3BB8">
        <w:t xml:space="preserve"> imagined new order draws on deeper </w:t>
      </w:r>
      <w:r w:rsidR="004B5890" w:rsidRPr="007B3BB8">
        <w:t>notions</w:t>
      </w:r>
      <w:r w:rsidRPr="007B3BB8">
        <w:t xml:space="preserve"> of how societies ought to fit together and how they ought to be.  Memory work serves a similar function in the phases of embedding and extension, allowing novel technoscientific constructs to be most </w:t>
      </w:r>
      <w:r w:rsidR="008C539A" w:rsidRPr="007B3BB8">
        <w:t>readily</w:t>
      </w:r>
      <w:r w:rsidR="0057788B" w:rsidRPr="007B3BB8">
        <w:t xml:space="preserve"> naturalized when they fall in</w:t>
      </w:r>
      <w:r w:rsidRPr="007B3BB8">
        <w:t xml:space="preserve"> </w:t>
      </w:r>
      <w:r w:rsidR="008C539A" w:rsidRPr="007B3BB8">
        <w:t>line with the way things are</w:t>
      </w:r>
      <w:r w:rsidR="00472199" w:rsidRPr="007B3BB8">
        <w:t xml:space="preserve"> remembered as being.  Those re</w:t>
      </w:r>
      <w:r w:rsidR="008C539A" w:rsidRPr="007B3BB8">
        <w:t xml:space="preserve">covered memories, as Felt and Hurlbut </w:t>
      </w:r>
      <w:r w:rsidR="008C539A" w:rsidRPr="007B3BB8">
        <w:lastRenderedPageBreak/>
        <w:t xml:space="preserve">show in their chapters, become internalized in human subjects, giving new meaning to what it means to be an Austrian, for example, or a member of a </w:t>
      </w:r>
      <w:r w:rsidR="007B5657" w:rsidRPr="007B3BB8">
        <w:t>biosciences</w:t>
      </w:r>
      <w:r w:rsidR="008C539A" w:rsidRPr="007B3BB8">
        <w:t xml:space="preserve"> community.</w:t>
      </w:r>
    </w:p>
    <w:p w14:paraId="72181904" w14:textId="68C7FDB0" w:rsidR="004B5890" w:rsidRPr="007B3BB8" w:rsidRDefault="004B5890" w:rsidP="004B5890">
      <w:pPr>
        <w:spacing w:line="480" w:lineRule="auto"/>
        <w:ind w:firstLine="720"/>
      </w:pPr>
      <w:r w:rsidRPr="007B3BB8">
        <w:t xml:space="preserve">A persistent risk of working with imaginaries is that they may come to be taken as </w:t>
      </w:r>
      <w:r w:rsidR="00E82462" w:rsidRPr="007B3BB8">
        <w:t xml:space="preserve">unproblematic, </w:t>
      </w:r>
      <w:r w:rsidR="00AD5ED3" w:rsidRPr="007B3BB8">
        <w:t xml:space="preserve">as </w:t>
      </w:r>
      <w:r w:rsidR="00E82462" w:rsidRPr="007B3BB8">
        <w:t xml:space="preserve">mere </w:t>
      </w:r>
      <w:r w:rsidRPr="007B3BB8">
        <w:t xml:space="preserve">descriptions of things as they are in the collective consciousness of various sorts of groups.  Ascribing a fixed ontological status to sociotechnical imaginaries, however, would rob them of their analytic value.  Such an approach </w:t>
      </w:r>
      <w:r w:rsidR="00E82462" w:rsidRPr="007B3BB8">
        <w:t>could</w:t>
      </w:r>
      <w:r w:rsidRPr="007B3BB8">
        <w:t xml:space="preserve"> easily become </w:t>
      </w:r>
      <w:r w:rsidR="00E82462" w:rsidRPr="007B3BB8">
        <w:t>both</w:t>
      </w:r>
      <w:r w:rsidRPr="007B3BB8">
        <w:t xml:space="preserve"> overwhelming </w:t>
      </w:r>
      <w:r w:rsidR="00E82462" w:rsidRPr="007B3BB8">
        <w:t>and</w:t>
      </w:r>
      <w:r w:rsidRPr="007B3BB8">
        <w:t xml:space="preserve"> superficial, </w:t>
      </w:r>
      <w:r w:rsidR="00E82462" w:rsidRPr="007B3BB8">
        <w:t>elevating any and</w:t>
      </w:r>
      <w:r w:rsidRPr="007B3BB8">
        <w:t xml:space="preserve"> every act of projection or prediction to the status of an imaginary.  Instead, what makes the careful study of imaginaries </w:t>
      </w:r>
      <w:r w:rsidR="00AD5ED3" w:rsidRPr="007B3BB8">
        <w:t>rewarding</w:t>
      </w:r>
      <w:r w:rsidRPr="007B3BB8">
        <w:t xml:space="preserve"> is that one is forced to look at the </w:t>
      </w:r>
      <w:r w:rsidR="00AD5ED3" w:rsidRPr="007B3BB8">
        <w:t xml:space="preserve">stylized </w:t>
      </w:r>
      <w:r w:rsidRPr="007B3BB8">
        <w:t>moves through which collective mindfulness is trained, moves that</w:t>
      </w:r>
      <w:r w:rsidR="00AD5ED3" w:rsidRPr="007B3BB8">
        <w:t xml:space="preserve"> may</w:t>
      </w:r>
      <w:r w:rsidRPr="007B3BB8">
        <w:t xml:space="preserve">, as we have repeatedly seen, endow social actors with </w:t>
      </w:r>
      <w:r w:rsidR="00E82462" w:rsidRPr="007B3BB8">
        <w:t xml:space="preserve">some forms of </w:t>
      </w:r>
      <w:r w:rsidRPr="007B3BB8">
        <w:t xml:space="preserve">prescient vision, even </w:t>
      </w:r>
      <w:r w:rsidR="00AD5ED3" w:rsidRPr="007B3BB8">
        <w:t xml:space="preserve">with </w:t>
      </w:r>
      <w:r w:rsidRPr="007B3BB8">
        <w:t xml:space="preserve">the capacity to move mountains, while rendering them oblivious to </w:t>
      </w:r>
      <w:r w:rsidR="00E82462" w:rsidRPr="007B3BB8">
        <w:t>alternate</w:t>
      </w:r>
      <w:r w:rsidRPr="007B3BB8">
        <w:t xml:space="preserve"> forms of organization</w:t>
      </w:r>
      <w:r w:rsidR="00B53D13">
        <w:t>,</w:t>
      </w:r>
      <w:r w:rsidRPr="007B3BB8">
        <w:t xml:space="preserve"> order</w:t>
      </w:r>
      <w:r w:rsidR="00B53D13">
        <w:t>,</w:t>
      </w:r>
      <w:r w:rsidR="00472199" w:rsidRPr="007B3BB8">
        <w:t xml:space="preserve"> and justice</w:t>
      </w:r>
      <w:r w:rsidRPr="007B3BB8">
        <w:t xml:space="preserve">.  An inquiry into sociotechnical imaginaries </w:t>
      </w:r>
      <w:r w:rsidR="00194C14" w:rsidRPr="007B3BB8">
        <w:t>allows</w:t>
      </w:r>
      <w:r w:rsidRPr="007B3BB8">
        <w:t xml:space="preserve"> at its best a deep </w:t>
      </w:r>
      <w:r w:rsidR="00AD5ED3" w:rsidRPr="007B3BB8">
        <w:t>meditation</w:t>
      </w:r>
      <w:r w:rsidRPr="007B3BB8">
        <w:t xml:space="preserve"> on the basis </w:t>
      </w:r>
      <w:r w:rsidR="00C544CA">
        <w:t>of</w:t>
      </w:r>
      <w:r w:rsidRPr="007B3BB8">
        <w:t xml:space="preserve"> a technological society’s particular forms of sightedness and blindness, and the trade-offs that inevitably accompany attempts to build a shared normative order.</w:t>
      </w:r>
    </w:p>
    <w:p w14:paraId="79D138EA" w14:textId="30668323" w:rsidR="003738FF" w:rsidRPr="007B3BB8" w:rsidRDefault="008C539A" w:rsidP="000D6817">
      <w:pPr>
        <w:spacing w:line="480" w:lineRule="auto"/>
        <w:ind w:firstLine="720"/>
      </w:pPr>
      <w:r w:rsidRPr="007B3BB8">
        <w:t>Above all, the turn toward the imagination, together with an emphasis on the creative potential of science and technology, makes possible a study of alternative</w:t>
      </w:r>
      <w:r w:rsidR="0077509D" w:rsidRPr="007B3BB8">
        <w:t xml:space="preserve"> future</w:t>
      </w:r>
      <w:r w:rsidRPr="007B3BB8">
        <w:t xml:space="preserve">s.  That sociotechnical orders are not natural, that they do not reflect </w:t>
      </w:r>
      <w:r w:rsidR="0077509D" w:rsidRPr="007B3BB8">
        <w:t xml:space="preserve">any </w:t>
      </w:r>
      <w:r w:rsidRPr="007B3BB8">
        <w:t xml:space="preserve">intrinsic properties of humans or things, is by now too well established to need </w:t>
      </w:r>
      <w:r w:rsidR="0077509D" w:rsidRPr="007B3BB8">
        <w:t>belaboring—at least for interpretive analysts.  But the corollary that other worlds are</w:t>
      </w:r>
      <w:r w:rsidR="001746ED" w:rsidRPr="007B3BB8">
        <w:t xml:space="preserve"> always</w:t>
      </w:r>
      <w:r w:rsidR="0077509D" w:rsidRPr="007B3BB8">
        <w:t xml:space="preserve"> there for the making is less well </w:t>
      </w:r>
      <w:r w:rsidR="001746ED" w:rsidRPr="007B3BB8">
        <w:t>understood and still less acted upon</w:t>
      </w:r>
      <w:r w:rsidR="0077509D" w:rsidRPr="007B3BB8">
        <w:t xml:space="preserve">.  At times, the juggernaut of global capital, </w:t>
      </w:r>
      <w:r w:rsidR="001746ED" w:rsidRPr="007B3BB8">
        <w:t>driven</w:t>
      </w:r>
      <w:r w:rsidR="0077509D" w:rsidRPr="007B3BB8">
        <w:t xml:space="preserve"> by </w:t>
      </w:r>
      <w:r w:rsidR="001746ED" w:rsidRPr="007B3BB8">
        <w:t xml:space="preserve">the </w:t>
      </w:r>
      <w:r w:rsidR="000F4D5C">
        <w:t>furious</w:t>
      </w:r>
      <w:r w:rsidR="00E82462" w:rsidRPr="007B3BB8">
        <w:t xml:space="preserve"> </w:t>
      </w:r>
      <w:r w:rsidR="004D72FF" w:rsidRPr="007B3BB8">
        <w:t>whip</w:t>
      </w:r>
      <w:r w:rsidR="001746ED" w:rsidRPr="007B3BB8">
        <w:t xml:space="preserve"> of </w:t>
      </w:r>
      <w:r w:rsidR="00D13E8D" w:rsidRPr="007B3BB8">
        <w:t xml:space="preserve">technological innovation and </w:t>
      </w:r>
      <w:r w:rsidR="0077509D" w:rsidRPr="007B3BB8">
        <w:t>tuned to a univocal discourse of progress, seems unstoppable.  Yet</w:t>
      </w:r>
      <w:r w:rsidR="00E82462" w:rsidRPr="007B3BB8">
        <w:t>,</w:t>
      </w:r>
      <w:r w:rsidR="0077509D" w:rsidRPr="007B3BB8">
        <w:t xml:space="preserve"> as almost all of the </w:t>
      </w:r>
      <w:r w:rsidR="00E82462" w:rsidRPr="007B3BB8">
        <w:t>studies</w:t>
      </w:r>
      <w:r w:rsidR="0077509D" w:rsidRPr="007B3BB8">
        <w:t xml:space="preserve"> in </w:t>
      </w:r>
      <w:r w:rsidR="0077509D" w:rsidRPr="007B3BB8">
        <w:lastRenderedPageBreak/>
        <w:t xml:space="preserve">this book </w:t>
      </w:r>
      <w:r w:rsidR="00472199" w:rsidRPr="007B3BB8">
        <w:t>plainly</w:t>
      </w:r>
      <w:r w:rsidR="0077509D" w:rsidRPr="007B3BB8">
        <w:t xml:space="preserve"> demonstrate, multiple imaginaries can be spun from the same raw materials of invention</w:t>
      </w:r>
      <w:r w:rsidR="00D13E8D" w:rsidRPr="007B3BB8">
        <w:t xml:space="preserve"> and will</w:t>
      </w:r>
      <w:r w:rsidR="001746ED" w:rsidRPr="007B3BB8">
        <w:t xml:space="preserve">.  By situating their stories in specific contexts of struggle and achievement, the authors </w:t>
      </w:r>
      <w:r w:rsidR="003C1B00" w:rsidRPr="007B3BB8">
        <w:t xml:space="preserve">in this volume </w:t>
      </w:r>
      <w:r w:rsidR="001746ED" w:rsidRPr="007B3BB8">
        <w:t xml:space="preserve">continually point to roads less seen and less traveled, but </w:t>
      </w:r>
      <w:r w:rsidR="00226A83" w:rsidRPr="007B3BB8">
        <w:t xml:space="preserve">that are </w:t>
      </w:r>
      <w:r w:rsidR="001746ED" w:rsidRPr="007B3BB8">
        <w:t xml:space="preserve">there </w:t>
      </w:r>
      <w:r w:rsidR="00226A83" w:rsidRPr="007B3BB8">
        <w:t xml:space="preserve">nonetheless </w:t>
      </w:r>
      <w:r w:rsidR="001746ED" w:rsidRPr="007B3BB8">
        <w:t xml:space="preserve">for the critical imagination to map and explore.  </w:t>
      </w:r>
      <w:r w:rsidR="00AC7839" w:rsidRPr="007B3BB8">
        <w:t xml:space="preserve">Analyzing sociotechnical imaginaries </w:t>
      </w:r>
      <w:r w:rsidR="00226A83" w:rsidRPr="007B3BB8">
        <w:t xml:space="preserve">emerges, then, as </w:t>
      </w:r>
      <w:r w:rsidR="00AC7839" w:rsidRPr="007B3BB8">
        <w:t xml:space="preserve">a form of </w:t>
      </w:r>
      <w:r w:rsidR="003C1B00" w:rsidRPr="007B3BB8">
        <w:t xml:space="preserve">intensely </w:t>
      </w:r>
      <w:r w:rsidR="00AC7839" w:rsidRPr="007B3BB8">
        <w:t xml:space="preserve">political narration, reminding </w:t>
      </w:r>
      <w:r w:rsidR="00226A83" w:rsidRPr="007B3BB8">
        <w:t>both</w:t>
      </w:r>
      <w:r w:rsidR="00AC7839" w:rsidRPr="007B3BB8">
        <w:t xml:space="preserve"> observer</w:t>
      </w:r>
      <w:r w:rsidR="00226A83" w:rsidRPr="007B3BB8">
        <w:t>s</w:t>
      </w:r>
      <w:r w:rsidR="00AC7839" w:rsidRPr="007B3BB8">
        <w:t xml:space="preserve"> </w:t>
      </w:r>
      <w:r w:rsidR="00226A83" w:rsidRPr="007B3BB8">
        <w:t>and</w:t>
      </w:r>
      <w:r w:rsidR="00AC7839" w:rsidRPr="007B3BB8">
        <w:t xml:space="preserve"> observed that </w:t>
      </w:r>
      <w:r w:rsidR="00C544CA">
        <w:t xml:space="preserve">the </w:t>
      </w:r>
      <w:r w:rsidR="00AC7839" w:rsidRPr="007B3BB8">
        <w:t>seen</w:t>
      </w:r>
      <w:r w:rsidR="003C1B00" w:rsidRPr="007B3BB8">
        <w:t xml:space="preserve"> reality</w:t>
      </w:r>
      <w:r w:rsidR="00AC7839" w:rsidRPr="007B3BB8">
        <w:t xml:space="preserve"> is not the only </w:t>
      </w:r>
      <w:r w:rsidR="00540957" w:rsidRPr="007B3BB8">
        <w:t xml:space="preserve">one </w:t>
      </w:r>
      <w:r w:rsidR="00E56DED">
        <w:t>about</w:t>
      </w:r>
      <w:r w:rsidR="00C544CA" w:rsidRPr="007B3BB8">
        <w:t xml:space="preserve"> </w:t>
      </w:r>
      <w:r w:rsidR="00C544CA">
        <w:t xml:space="preserve">which </w:t>
      </w:r>
      <w:r w:rsidR="00540957" w:rsidRPr="007B3BB8">
        <w:t xml:space="preserve">we can </w:t>
      </w:r>
      <w:r w:rsidR="00B53D13">
        <w:t>dream</w:t>
      </w:r>
      <w:r w:rsidR="000D6817">
        <w:t>.</w:t>
      </w:r>
    </w:p>
    <w:p w14:paraId="6A815A26" w14:textId="3465840A" w:rsidR="003738FF" w:rsidRPr="00E56477" w:rsidRDefault="000D6817" w:rsidP="003B03AB">
      <w:pPr>
        <w:rPr>
          <w:b/>
        </w:rPr>
      </w:pPr>
      <w:r>
        <w:rPr>
          <w:b/>
        </w:rPr>
        <w:t>R</w:t>
      </w:r>
      <w:r w:rsidR="00E56477" w:rsidRPr="00E56477">
        <w:rPr>
          <w:b/>
        </w:rPr>
        <w:t>eferences</w:t>
      </w:r>
    </w:p>
    <w:p w14:paraId="7F6C486E" w14:textId="77777777" w:rsidR="003B03AB" w:rsidRPr="007B3BB8" w:rsidRDefault="003B03AB" w:rsidP="003B03AB">
      <w:pPr>
        <w:ind w:left="720" w:hanging="720"/>
      </w:pPr>
    </w:p>
    <w:p w14:paraId="7823A1FD" w14:textId="77777777" w:rsidR="0048568D" w:rsidRPr="007B3BB8" w:rsidRDefault="0048568D" w:rsidP="003B03AB">
      <w:pPr>
        <w:ind w:left="720" w:hanging="720"/>
        <w:rPr>
          <w:iCs/>
        </w:rPr>
      </w:pPr>
      <w:r w:rsidRPr="007B3BB8">
        <w:rPr>
          <w:iCs/>
        </w:rPr>
        <w:t>Akamatsu K</w:t>
      </w:r>
      <w:r w:rsidR="00932100" w:rsidRPr="007B3BB8">
        <w:rPr>
          <w:iCs/>
        </w:rPr>
        <w:t>aname</w:t>
      </w:r>
      <w:r w:rsidR="00CA2D87" w:rsidRPr="007B3BB8">
        <w:rPr>
          <w:iCs/>
        </w:rPr>
        <w:t xml:space="preserve">. 1962. </w:t>
      </w:r>
      <w:r w:rsidR="00932100" w:rsidRPr="007B3BB8">
        <w:rPr>
          <w:iCs/>
        </w:rPr>
        <w:t>“A Historical Pattern of Economic Growth in Developing C</w:t>
      </w:r>
      <w:r w:rsidRPr="007B3BB8">
        <w:rPr>
          <w:iCs/>
        </w:rPr>
        <w:t>ountries.</w:t>
      </w:r>
      <w:r w:rsidR="00932100" w:rsidRPr="007B3BB8">
        <w:rPr>
          <w:iCs/>
        </w:rPr>
        <w:t xml:space="preserve">” </w:t>
      </w:r>
      <w:r w:rsidRPr="007B3BB8">
        <w:rPr>
          <w:i/>
          <w:iCs/>
        </w:rPr>
        <w:t>J</w:t>
      </w:r>
      <w:r w:rsidR="00932100" w:rsidRPr="007B3BB8">
        <w:rPr>
          <w:i/>
          <w:iCs/>
        </w:rPr>
        <w:t>ournal of Developing Economies</w:t>
      </w:r>
      <w:r w:rsidR="00932100" w:rsidRPr="007B3BB8">
        <w:rPr>
          <w:iCs/>
        </w:rPr>
        <w:t xml:space="preserve"> </w:t>
      </w:r>
      <w:r w:rsidRPr="007B3BB8">
        <w:rPr>
          <w:iCs/>
        </w:rPr>
        <w:t>1(1):3–25</w:t>
      </w:r>
      <w:r w:rsidR="00932100" w:rsidRPr="007B3BB8">
        <w:rPr>
          <w:iCs/>
        </w:rPr>
        <w:t>.</w:t>
      </w:r>
    </w:p>
    <w:p w14:paraId="0A0A54D5" w14:textId="77777777" w:rsidR="0048568D" w:rsidRPr="007B3BB8" w:rsidRDefault="0048568D" w:rsidP="003B03AB">
      <w:pPr>
        <w:ind w:left="720" w:hanging="720"/>
        <w:rPr>
          <w:iCs/>
        </w:rPr>
      </w:pPr>
    </w:p>
    <w:p w14:paraId="496534D6" w14:textId="77777777" w:rsidR="003B03AB" w:rsidRPr="007B3BB8" w:rsidRDefault="003B03AB" w:rsidP="003B03AB">
      <w:pPr>
        <w:ind w:left="720" w:hanging="720"/>
      </w:pPr>
      <w:r w:rsidRPr="007B3BB8">
        <w:rPr>
          <w:iCs/>
        </w:rPr>
        <w:t xml:space="preserve">Appadurai, Arjun. 2002. “Disjuncture and Difference in the Global Cultural Economy.” Pp. 46-64 in Jonathan Xavier Inda and Renato Rosaldo, eds., </w:t>
      </w:r>
      <w:r w:rsidRPr="007B3BB8">
        <w:rPr>
          <w:i/>
          <w:iCs/>
        </w:rPr>
        <w:t>The Anthropology of Globalization: A Reader</w:t>
      </w:r>
      <w:r w:rsidRPr="007B3BB8">
        <w:t xml:space="preserve">. Oxford: Blackwell; earlier version published in </w:t>
      </w:r>
      <w:r w:rsidRPr="007B3BB8">
        <w:rPr>
          <w:i/>
          <w:iCs/>
        </w:rPr>
        <w:t>Public Culture</w:t>
      </w:r>
      <w:r w:rsidR="008979D9" w:rsidRPr="007B3BB8">
        <w:rPr>
          <w:iCs/>
        </w:rPr>
        <w:t xml:space="preserve"> Spring 1990 2(2):</w:t>
      </w:r>
      <w:r w:rsidRPr="007B3BB8">
        <w:rPr>
          <w:iCs/>
        </w:rPr>
        <w:t>1-24.</w:t>
      </w:r>
      <w:r w:rsidRPr="007B3BB8">
        <w:t xml:space="preserve"> </w:t>
      </w:r>
    </w:p>
    <w:p w14:paraId="4AA8DE31" w14:textId="77777777" w:rsidR="008979D9" w:rsidRPr="007B3BB8" w:rsidRDefault="008979D9" w:rsidP="003B03AB">
      <w:pPr>
        <w:ind w:left="720" w:hanging="720"/>
      </w:pPr>
    </w:p>
    <w:p w14:paraId="4B60DF95" w14:textId="77777777" w:rsidR="00CB5BCE" w:rsidRPr="007B3BB8" w:rsidRDefault="00CB5BCE" w:rsidP="008979D9">
      <w:pPr>
        <w:ind w:left="720" w:hanging="720"/>
      </w:pPr>
      <w:r w:rsidRPr="007B3BB8">
        <w:t xml:space="preserve">Bourdieu, Pierre. 1990. </w:t>
      </w:r>
      <w:r w:rsidRPr="007B3BB8">
        <w:rPr>
          <w:i/>
        </w:rPr>
        <w:t>The Logic of Practice</w:t>
      </w:r>
      <w:r w:rsidRPr="007B3BB8">
        <w:t>. Cambridge: Polity Press.</w:t>
      </w:r>
    </w:p>
    <w:p w14:paraId="5E6E328A" w14:textId="77777777" w:rsidR="00CB5BCE" w:rsidRPr="007B3BB8" w:rsidRDefault="00CB5BCE" w:rsidP="008979D9">
      <w:pPr>
        <w:ind w:left="720" w:hanging="720"/>
      </w:pPr>
    </w:p>
    <w:p w14:paraId="4495C90D" w14:textId="77777777" w:rsidR="008979D9" w:rsidRPr="007B3BB8" w:rsidRDefault="008979D9" w:rsidP="008979D9">
      <w:pPr>
        <w:ind w:left="720" w:hanging="720"/>
      </w:pPr>
      <w:r w:rsidRPr="007B3BB8">
        <w:t xml:space="preserve">Ezrahi, Yaron. 2012. </w:t>
      </w:r>
      <w:r w:rsidRPr="007B3BB8">
        <w:rPr>
          <w:i/>
        </w:rPr>
        <w:t>Imagined Democracies: Necessary Political Fictions</w:t>
      </w:r>
      <w:r w:rsidRPr="007B3BB8">
        <w:t>. New York: Cambridge University Press.</w:t>
      </w:r>
    </w:p>
    <w:p w14:paraId="414EC74C" w14:textId="77777777" w:rsidR="000123D8" w:rsidRPr="007B3BB8" w:rsidRDefault="000123D8" w:rsidP="003B03AB">
      <w:pPr>
        <w:ind w:left="720" w:hanging="720"/>
      </w:pPr>
    </w:p>
    <w:p w14:paraId="064084B5" w14:textId="77777777" w:rsidR="000123D8" w:rsidRPr="007B3BB8" w:rsidRDefault="000123D8" w:rsidP="003B03AB">
      <w:pPr>
        <w:ind w:left="720" w:hanging="720"/>
      </w:pPr>
      <w:r w:rsidRPr="007B3BB8">
        <w:t xml:space="preserve">Forman, Paul. 1971. “Weimar culture, causality, and quantum theory: adaptation by German physicists and mathematicians to a hostile environment.” </w:t>
      </w:r>
      <w:r w:rsidRPr="007B3BB8">
        <w:rPr>
          <w:i/>
          <w:iCs/>
        </w:rPr>
        <w:t>Historical Studies in the Physical Sciences</w:t>
      </w:r>
      <w:r w:rsidRPr="007B3BB8">
        <w:t xml:space="preserve"> 3:1-115.</w:t>
      </w:r>
    </w:p>
    <w:p w14:paraId="742FBBEA" w14:textId="77777777" w:rsidR="0094655D" w:rsidRPr="007B3BB8" w:rsidRDefault="0094655D" w:rsidP="003B03AB">
      <w:pPr>
        <w:ind w:left="720" w:hanging="720"/>
      </w:pPr>
    </w:p>
    <w:p w14:paraId="6648E7A2" w14:textId="77777777" w:rsidR="0094655D" w:rsidRPr="007B3BB8" w:rsidRDefault="0094655D" w:rsidP="00CE1120">
      <w:pPr>
        <w:ind w:left="720" w:hanging="720"/>
        <w:rPr>
          <w:iCs/>
        </w:rPr>
      </w:pPr>
      <w:r w:rsidRPr="007B3BB8">
        <w:t>Forman, Paul. 2007. “The Primacy of Science in Modernity, of Technology in Postmodernity, and of Ideology in the History of Technology.”</w:t>
      </w:r>
      <w:r w:rsidR="00CE1120" w:rsidRPr="007B3BB8">
        <w:t xml:space="preserve"> </w:t>
      </w:r>
      <w:r w:rsidR="00CE1120" w:rsidRPr="007B3BB8">
        <w:rPr>
          <w:i/>
          <w:iCs/>
        </w:rPr>
        <w:t xml:space="preserve">History and Technology </w:t>
      </w:r>
      <w:r w:rsidR="00CE1120" w:rsidRPr="007B3BB8">
        <w:rPr>
          <w:iCs/>
        </w:rPr>
        <w:t>23(1/2):1–152.</w:t>
      </w:r>
    </w:p>
    <w:p w14:paraId="15EB13C9" w14:textId="77777777" w:rsidR="00DC072C" w:rsidRPr="007B3BB8" w:rsidRDefault="00DC072C" w:rsidP="003B03AB">
      <w:pPr>
        <w:ind w:left="720" w:hanging="720"/>
      </w:pPr>
    </w:p>
    <w:p w14:paraId="7662C901" w14:textId="77777777" w:rsidR="00DC072C" w:rsidRPr="007B3BB8" w:rsidRDefault="00DC072C" w:rsidP="00DC072C">
      <w:pPr>
        <w:ind w:left="720" w:hanging="720"/>
      </w:pPr>
      <w:r w:rsidRPr="007B3BB8">
        <w:t xml:space="preserve">Jasanoff, Sheila. 1996. “Science and Norms in International Environmental Regimes.” Pp. 173-197 in Fen O. Hampson and Judith Reppy, eds. </w:t>
      </w:r>
      <w:r w:rsidRPr="007B3BB8">
        <w:rPr>
          <w:i/>
        </w:rPr>
        <w:t>Earthly Goods:  Environmental Change and Social Justice</w:t>
      </w:r>
      <w:r w:rsidRPr="007B3BB8">
        <w:t>. Ithaca, NY: Cornell University Press.</w:t>
      </w:r>
    </w:p>
    <w:p w14:paraId="496ACCEC" w14:textId="77777777" w:rsidR="00755C27" w:rsidRPr="007B3BB8" w:rsidRDefault="00755C27" w:rsidP="00CA6896"/>
    <w:p w14:paraId="5172CEF6" w14:textId="3C7A9560" w:rsidR="009E0325" w:rsidRPr="007B3BB8" w:rsidRDefault="00040EEB" w:rsidP="009E0325">
      <w:pPr>
        <w:ind w:left="720" w:hanging="720"/>
      </w:pPr>
      <w:r w:rsidRPr="007B3BB8">
        <w:t xml:space="preserve">Jasanoff, Sheila. 2001. “Image and Imagination: </w:t>
      </w:r>
      <w:r w:rsidR="000E3501" w:rsidRPr="007B3BB8">
        <w:t>The Formation of Glo</w:t>
      </w:r>
      <w:r w:rsidRPr="007B3BB8">
        <w:t>bal Environmental Consciousness.</w:t>
      </w:r>
      <w:r w:rsidR="000E3501" w:rsidRPr="007B3BB8">
        <w:t xml:space="preserve">” </w:t>
      </w:r>
      <w:r w:rsidRPr="007B3BB8">
        <w:t xml:space="preserve">Pp. 309-337 in Clark Miller and Paul Edwards, eds. </w:t>
      </w:r>
      <w:r w:rsidRPr="007B3BB8">
        <w:rPr>
          <w:i/>
        </w:rPr>
        <w:t xml:space="preserve">Changing the Atmosphere: </w:t>
      </w:r>
      <w:r w:rsidR="000E3501" w:rsidRPr="007B3BB8">
        <w:rPr>
          <w:i/>
        </w:rPr>
        <w:t>Expert Knowledge and Environmental Governance</w:t>
      </w:r>
      <w:r w:rsidRPr="007B3BB8">
        <w:t xml:space="preserve">. Cambridge, MA: </w:t>
      </w:r>
      <w:r w:rsidR="000E3501" w:rsidRPr="007B3BB8">
        <w:t>MIT Press.</w:t>
      </w:r>
    </w:p>
    <w:p w14:paraId="58495D6A" w14:textId="77777777" w:rsidR="0041075F" w:rsidRPr="007B3BB8" w:rsidRDefault="0041075F" w:rsidP="0041075F">
      <w:pPr>
        <w:ind w:left="720" w:hanging="720"/>
      </w:pPr>
    </w:p>
    <w:p w14:paraId="11918CFE" w14:textId="77777777" w:rsidR="00DC072C" w:rsidRPr="007B3BB8" w:rsidRDefault="00DC072C" w:rsidP="0041075F">
      <w:pPr>
        <w:ind w:left="720" w:hanging="720"/>
      </w:pPr>
      <w:r w:rsidRPr="007B3BB8">
        <w:lastRenderedPageBreak/>
        <w:t>Jasanoff, Sheila. 2005</w:t>
      </w:r>
      <w:r w:rsidR="00124052" w:rsidRPr="007B3BB8">
        <w:t>a</w:t>
      </w:r>
      <w:r w:rsidRPr="007B3BB8">
        <w:t>. “In the Democracies of DNA: Ontological Uncertainty and Political Order in Three States.</w:t>
      </w:r>
      <w:r w:rsidR="000C792D" w:rsidRPr="007B3BB8">
        <w:t>”</w:t>
      </w:r>
      <w:r w:rsidRPr="007B3BB8">
        <w:t xml:space="preserve"> </w:t>
      </w:r>
      <w:r w:rsidRPr="007B3BB8">
        <w:rPr>
          <w:i/>
          <w:iCs/>
        </w:rPr>
        <w:t>New Genetics and Society</w:t>
      </w:r>
      <w:r w:rsidRPr="007B3BB8">
        <w:rPr>
          <w:iCs/>
        </w:rPr>
        <w:t xml:space="preserve"> 24</w:t>
      </w:r>
      <w:r w:rsidRPr="007B3BB8">
        <w:t>(2):139-155.</w:t>
      </w:r>
    </w:p>
    <w:p w14:paraId="17DAABD1" w14:textId="77777777" w:rsidR="00124052" w:rsidRPr="007B3BB8" w:rsidRDefault="00124052" w:rsidP="00DC072C">
      <w:pPr>
        <w:ind w:left="720" w:hanging="720"/>
      </w:pPr>
    </w:p>
    <w:p w14:paraId="3AFE259A" w14:textId="77777777" w:rsidR="00124052" w:rsidRPr="007B3BB8" w:rsidRDefault="00124052" w:rsidP="00DC072C">
      <w:pPr>
        <w:ind w:left="720" w:hanging="720"/>
      </w:pPr>
      <w:r w:rsidRPr="007B3BB8">
        <w:t xml:space="preserve">Jasanoff, Sheila. 2005b. </w:t>
      </w:r>
      <w:r w:rsidRPr="007B3BB8">
        <w:rPr>
          <w:i/>
        </w:rPr>
        <w:t>Designs on Nature: Science and Democracy in Europe and the United States</w:t>
      </w:r>
      <w:r w:rsidRPr="007B3BB8">
        <w:t>. Princeton, NJ: Princeton University Press.</w:t>
      </w:r>
    </w:p>
    <w:p w14:paraId="42F55305" w14:textId="77777777" w:rsidR="0041075F" w:rsidRPr="007B3BB8" w:rsidRDefault="0041075F" w:rsidP="00DC072C">
      <w:pPr>
        <w:ind w:left="720" w:hanging="720"/>
      </w:pPr>
    </w:p>
    <w:p w14:paraId="587ECAFF" w14:textId="77777777" w:rsidR="0041075F" w:rsidRPr="007B3BB8" w:rsidRDefault="0041075F" w:rsidP="0041075F">
      <w:pPr>
        <w:ind w:left="720" w:hanging="720"/>
      </w:pPr>
      <w:r w:rsidRPr="007B3BB8">
        <w:t>Jasanoff, Sheila. 2006. “Biotechnology and Empire: The Global Power of S</w:t>
      </w:r>
      <w:r w:rsidR="00DF002F" w:rsidRPr="007B3BB8">
        <w:t>eeds and Science.</w:t>
      </w:r>
      <w:r w:rsidRPr="007B3BB8">
        <w:t xml:space="preserve">” </w:t>
      </w:r>
      <w:r w:rsidRPr="007B3BB8">
        <w:rPr>
          <w:i/>
        </w:rPr>
        <w:t>Osiris</w:t>
      </w:r>
      <w:r w:rsidRPr="007B3BB8">
        <w:t xml:space="preserve"> 21(1):273-292.</w:t>
      </w:r>
    </w:p>
    <w:p w14:paraId="133E6CDC" w14:textId="77777777" w:rsidR="00C1102E" w:rsidRPr="007B3BB8" w:rsidRDefault="00C1102E" w:rsidP="00DC072C">
      <w:pPr>
        <w:ind w:left="720" w:hanging="720"/>
      </w:pPr>
    </w:p>
    <w:p w14:paraId="5CE2EDB1" w14:textId="77777777" w:rsidR="00AD3615" w:rsidRDefault="00595571" w:rsidP="00AD3615">
      <w:pPr>
        <w:ind w:left="720" w:hanging="720"/>
      </w:pPr>
      <w:r w:rsidRPr="007B3BB8">
        <w:t>Jasanoff, Sheila. 2012</w:t>
      </w:r>
      <w:r w:rsidR="00C1102E" w:rsidRPr="007B3BB8">
        <w:t xml:space="preserve">. </w:t>
      </w:r>
      <w:r w:rsidR="00C1102E" w:rsidRPr="007B3BB8">
        <w:rPr>
          <w:i/>
        </w:rPr>
        <w:t>Science and Public Reason</w:t>
      </w:r>
      <w:r w:rsidR="00C1102E" w:rsidRPr="007B3BB8">
        <w:t>. Abingdon, Oxon: Routledge-Earthscan.</w:t>
      </w:r>
    </w:p>
    <w:p w14:paraId="45C164D5" w14:textId="77777777" w:rsidR="009E0325" w:rsidRDefault="009E0325" w:rsidP="00AD3615">
      <w:pPr>
        <w:ind w:left="720" w:hanging="720"/>
      </w:pPr>
    </w:p>
    <w:p w14:paraId="27461ADE" w14:textId="6705B205" w:rsidR="009E0325" w:rsidRPr="007B3BB8" w:rsidRDefault="009E0325" w:rsidP="00AD3615">
      <w:pPr>
        <w:ind w:left="720" w:hanging="720"/>
      </w:pPr>
      <w:r>
        <w:t xml:space="preserve">Jasanoff, Sheila, ed. 2004. </w:t>
      </w:r>
      <w:r w:rsidR="00566AF7">
        <w:rPr>
          <w:i/>
        </w:rPr>
        <w:t>States of Knowle</w:t>
      </w:r>
      <w:r w:rsidRPr="009E0325">
        <w:rPr>
          <w:i/>
        </w:rPr>
        <w:t>dge: The Co-</w:t>
      </w:r>
      <w:r w:rsidR="00566AF7" w:rsidRPr="009E0325">
        <w:rPr>
          <w:i/>
        </w:rPr>
        <w:t>Production</w:t>
      </w:r>
      <w:r w:rsidRPr="009E0325">
        <w:rPr>
          <w:i/>
        </w:rPr>
        <w:t xml:space="preserve"> of Science and Social Order</w:t>
      </w:r>
      <w:r>
        <w:t>. London: Routledge.</w:t>
      </w:r>
    </w:p>
    <w:p w14:paraId="08C57ADE" w14:textId="77777777" w:rsidR="00AD3615" w:rsidRPr="007B3BB8" w:rsidRDefault="00AD3615" w:rsidP="00AD3615">
      <w:pPr>
        <w:ind w:left="720" w:hanging="720"/>
      </w:pPr>
    </w:p>
    <w:p w14:paraId="65FB8C71" w14:textId="77777777" w:rsidR="00CA6896" w:rsidRDefault="00CA6896" w:rsidP="00CA6896">
      <w:pPr>
        <w:tabs>
          <w:tab w:val="left" w:pos="-720"/>
          <w:tab w:val="left" w:pos="0"/>
        </w:tabs>
        <w:suppressAutoHyphens/>
        <w:ind w:left="720" w:hanging="720"/>
      </w:pPr>
      <w:r w:rsidRPr="007B3BB8">
        <w:t xml:space="preserve">Jasanoff, Sheila and Brian Wynne. 1998. “Science and Decisionmaking.” Pp. 1-87 in Steve Rayner and Elizabeth L. Malone, eds. </w:t>
      </w:r>
      <w:r w:rsidRPr="007B3BB8">
        <w:rPr>
          <w:i/>
        </w:rPr>
        <w:t>Human Choice and Climate Change</w:t>
      </w:r>
      <w:r w:rsidRPr="007B3BB8">
        <w:t xml:space="preserve"> Washington, D.C.: Battelle Press.</w:t>
      </w:r>
    </w:p>
    <w:p w14:paraId="7E47BAFD" w14:textId="77777777" w:rsidR="00CA6896" w:rsidRPr="007B3BB8" w:rsidRDefault="00CA6896" w:rsidP="00CA6896">
      <w:pPr>
        <w:tabs>
          <w:tab w:val="left" w:pos="-720"/>
          <w:tab w:val="left" w:pos="0"/>
        </w:tabs>
        <w:suppressAutoHyphens/>
        <w:ind w:left="720" w:hanging="720"/>
      </w:pPr>
    </w:p>
    <w:p w14:paraId="1B0748C7" w14:textId="77777777" w:rsidR="00AD3615" w:rsidRPr="007B3BB8" w:rsidRDefault="00AD3615" w:rsidP="00AD3615">
      <w:pPr>
        <w:ind w:left="720" w:hanging="720"/>
      </w:pPr>
      <w:r w:rsidRPr="007B3BB8">
        <w:t>Kim, Sang-Hyun. Forthcoming. “Contesting National Sociotechnical Imaginaries: The Politics of Human Embryonic</w:t>
      </w:r>
      <w:r w:rsidRPr="007B3BB8">
        <w:rPr>
          <w:rFonts w:hint="eastAsia"/>
        </w:rPr>
        <w:t xml:space="preserve"> </w:t>
      </w:r>
      <w:r w:rsidRPr="007B3BB8">
        <w:t>Stem Cell Research in South Korea.”</w:t>
      </w:r>
    </w:p>
    <w:p w14:paraId="017FC1A1" w14:textId="77777777" w:rsidR="00E366C0" w:rsidRPr="007B3BB8" w:rsidRDefault="00E366C0" w:rsidP="00C1102E">
      <w:pPr>
        <w:ind w:left="720" w:hanging="720"/>
      </w:pPr>
    </w:p>
    <w:p w14:paraId="1D33EDF8" w14:textId="77777777" w:rsidR="00E366C0" w:rsidRPr="007B3BB8" w:rsidRDefault="00E366C0" w:rsidP="00E366C0">
      <w:pPr>
        <w:ind w:left="720" w:hanging="720"/>
        <w:rPr>
          <w:bCs/>
        </w:rPr>
      </w:pPr>
      <w:r w:rsidRPr="007B3BB8">
        <w:rPr>
          <w:bCs/>
        </w:rPr>
        <w:t>Kuhn T</w:t>
      </w:r>
      <w:r w:rsidR="00E84B5D" w:rsidRPr="007B3BB8">
        <w:rPr>
          <w:bCs/>
        </w:rPr>
        <w:t>ho</w:t>
      </w:r>
      <w:r w:rsidRPr="007B3BB8">
        <w:rPr>
          <w:bCs/>
        </w:rPr>
        <w:t xml:space="preserve">mas S. 1962. </w:t>
      </w:r>
      <w:r w:rsidRPr="007B3BB8">
        <w:rPr>
          <w:bCs/>
          <w:i/>
        </w:rPr>
        <w:t>The Structure of Scientific Revolutions</w:t>
      </w:r>
      <w:r w:rsidRPr="007B3BB8">
        <w:rPr>
          <w:bCs/>
        </w:rPr>
        <w:t>. Chicago: University of Chicago Press.</w:t>
      </w:r>
    </w:p>
    <w:p w14:paraId="6C3D0A93" w14:textId="77777777" w:rsidR="00216A9D" w:rsidRPr="007B3BB8" w:rsidRDefault="00216A9D" w:rsidP="00AD3615"/>
    <w:p w14:paraId="7CCB99AE" w14:textId="77777777" w:rsidR="00216A9D" w:rsidRPr="007B3BB8" w:rsidRDefault="00216A9D" w:rsidP="00216A9D">
      <w:pPr>
        <w:ind w:left="720" w:hanging="720"/>
      </w:pPr>
      <w:r w:rsidRPr="007B3BB8">
        <w:t>Latour, Bruno. 1990. “Drawing Things Together.” Pp. 19-68 in Michael Lynch and Steve</w:t>
      </w:r>
      <w:r w:rsidR="0089625D" w:rsidRPr="007B3BB8">
        <w:t xml:space="preserve"> Woolgar, eds. </w:t>
      </w:r>
      <w:r w:rsidRPr="007B3BB8">
        <w:rPr>
          <w:i/>
        </w:rPr>
        <w:t>Representa</w:t>
      </w:r>
      <w:r w:rsidRPr="007B3BB8">
        <w:rPr>
          <w:i/>
        </w:rPr>
        <w:softHyphen/>
        <w:t>tion in Scientific Practice</w:t>
      </w:r>
      <w:r w:rsidRPr="007B3BB8">
        <w:t>. Cambridge, MA: MIT Press.</w:t>
      </w:r>
    </w:p>
    <w:p w14:paraId="29D39C94" w14:textId="77777777" w:rsidR="00DF002F" w:rsidRPr="007B3BB8" w:rsidRDefault="00DF002F" w:rsidP="00216A9D">
      <w:pPr>
        <w:ind w:left="720" w:hanging="720"/>
      </w:pPr>
    </w:p>
    <w:p w14:paraId="362A90B0" w14:textId="77777777" w:rsidR="00DF002F" w:rsidRPr="007B3BB8" w:rsidRDefault="00DF002F" w:rsidP="00DF002F">
      <w:pPr>
        <w:ind w:left="720" w:hanging="720"/>
      </w:pPr>
      <w:r w:rsidRPr="007B3BB8">
        <w:rPr>
          <w:bCs/>
        </w:rPr>
        <w:t>Mahony, Martin. 2014</w:t>
      </w:r>
      <w:r w:rsidRPr="007B3BB8">
        <w:t xml:space="preserve">. “The Predictive State: Science, Territory and the Future of the Indian Climate. </w:t>
      </w:r>
      <w:r w:rsidRPr="007B3BB8">
        <w:rPr>
          <w:i/>
        </w:rPr>
        <w:t>Social Studies of Science</w:t>
      </w:r>
      <w:r w:rsidRPr="007B3BB8">
        <w:t xml:space="preserve"> 44(1):109-133. </w:t>
      </w:r>
    </w:p>
    <w:p w14:paraId="19FD8F40" w14:textId="77777777" w:rsidR="005F4679" w:rsidRPr="007B3BB8" w:rsidRDefault="005F4679" w:rsidP="00DC072C"/>
    <w:p w14:paraId="2F6D3F86" w14:textId="77777777" w:rsidR="00626333" w:rsidRPr="007B3BB8" w:rsidRDefault="005F4679" w:rsidP="00626333">
      <w:pPr>
        <w:ind w:left="720" w:hanging="720"/>
      </w:pPr>
      <w:r w:rsidRPr="007B3BB8">
        <w:t xml:space="preserve">Marcus, George E., ed. 1995. </w:t>
      </w:r>
      <w:r w:rsidRPr="007B3BB8">
        <w:rPr>
          <w:bCs/>
          <w:i/>
        </w:rPr>
        <w:t xml:space="preserve">Technoscientific Imaginaries: </w:t>
      </w:r>
      <w:r w:rsidRPr="007B3BB8">
        <w:rPr>
          <w:i/>
        </w:rPr>
        <w:t>Conversations, Profiles, and Memoirs</w:t>
      </w:r>
      <w:r w:rsidRPr="007B3BB8">
        <w:t>. Chicago: University of Chicago Press.</w:t>
      </w:r>
    </w:p>
    <w:p w14:paraId="0D2AD724" w14:textId="77777777" w:rsidR="00495DC9" w:rsidRPr="007B3BB8" w:rsidRDefault="00495DC9" w:rsidP="00626333">
      <w:pPr>
        <w:ind w:left="720" w:hanging="720"/>
      </w:pPr>
    </w:p>
    <w:p w14:paraId="3F8C434A" w14:textId="77777777" w:rsidR="00783707" w:rsidRPr="007B3BB8" w:rsidRDefault="00783707" w:rsidP="00783707">
      <w:pPr>
        <w:ind w:left="720" w:hanging="720"/>
      </w:pPr>
      <w:r w:rsidRPr="007B3BB8">
        <w:t xml:space="preserve">Mitchell, Timothy. 2002. </w:t>
      </w:r>
      <w:r w:rsidRPr="007B3BB8">
        <w:rPr>
          <w:i/>
        </w:rPr>
        <w:t>Rule of Experts: Egypt, Techno-Politics, Modernity</w:t>
      </w:r>
      <w:r w:rsidRPr="007B3BB8">
        <w:t xml:space="preserve">. Berkeley: University of California Press. </w:t>
      </w:r>
    </w:p>
    <w:p w14:paraId="02FE451A" w14:textId="77777777" w:rsidR="00783707" w:rsidRPr="007B3BB8" w:rsidRDefault="00783707" w:rsidP="00783707">
      <w:pPr>
        <w:ind w:left="720" w:hanging="720"/>
      </w:pPr>
    </w:p>
    <w:p w14:paraId="6FADBA67" w14:textId="77777777" w:rsidR="00495DC9" w:rsidRPr="007B3BB8" w:rsidRDefault="00495DC9" w:rsidP="00626333">
      <w:pPr>
        <w:ind w:left="720" w:hanging="720"/>
      </w:pPr>
      <w:r w:rsidRPr="007B3BB8">
        <w:t xml:space="preserve">Penney, Laurie. 2012. “In the Red.” </w:t>
      </w:r>
      <w:r w:rsidRPr="007B3BB8">
        <w:rPr>
          <w:i/>
        </w:rPr>
        <w:t>New Statesman</w:t>
      </w:r>
      <w:r w:rsidRPr="007B3BB8">
        <w:t>, 21-27 June.</w:t>
      </w:r>
    </w:p>
    <w:p w14:paraId="76D4F7F4" w14:textId="77777777" w:rsidR="00FB0BCA" w:rsidRPr="007B3BB8" w:rsidRDefault="00FB0BCA" w:rsidP="00626333">
      <w:pPr>
        <w:ind w:left="720" w:hanging="720"/>
      </w:pPr>
    </w:p>
    <w:p w14:paraId="63394A31" w14:textId="77777777" w:rsidR="00FB0BCA" w:rsidRPr="007B3BB8" w:rsidRDefault="00FB0BCA" w:rsidP="00AD3615">
      <w:pPr>
        <w:ind w:left="720" w:hanging="720"/>
      </w:pPr>
      <w:r w:rsidRPr="007B3BB8">
        <w:t xml:space="preserve">Pielke, Roger A., Jr. 2007. </w:t>
      </w:r>
      <w:r w:rsidRPr="007B3BB8">
        <w:rPr>
          <w:i/>
          <w:iCs/>
        </w:rPr>
        <w:t>The Honest Broker: Making Sense of Science in Policy and Politics</w:t>
      </w:r>
      <w:r w:rsidRPr="007B3BB8">
        <w:t>. Cambridge: Cambridge University Press.</w:t>
      </w:r>
    </w:p>
    <w:p w14:paraId="27E03210" w14:textId="77777777" w:rsidR="00626333" w:rsidRPr="007B3BB8" w:rsidRDefault="00626333" w:rsidP="00626333">
      <w:pPr>
        <w:ind w:left="720" w:hanging="720"/>
      </w:pPr>
    </w:p>
    <w:p w14:paraId="5EED57BE" w14:textId="77777777" w:rsidR="00626333" w:rsidRPr="007B3BB8" w:rsidRDefault="00626333" w:rsidP="00626333">
      <w:pPr>
        <w:ind w:left="720" w:hanging="720"/>
      </w:pPr>
      <w:r w:rsidRPr="007B3BB8">
        <w:t xml:space="preserve">Stokes, Donald. 1997. </w:t>
      </w:r>
      <w:r w:rsidRPr="007B3BB8">
        <w:rPr>
          <w:i/>
          <w:iCs/>
        </w:rPr>
        <w:t>Pasteur's Quadrant: Basic Science and Technological Innovation</w:t>
      </w:r>
      <w:r w:rsidRPr="007B3BB8">
        <w:t>. Washington, D.C.: Brookings Institution Press.</w:t>
      </w:r>
    </w:p>
    <w:p w14:paraId="524BFC3F" w14:textId="77777777" w:rsidR="00626333" w:rsidRPr="007B3BB8" w:rsidRDefault="00626333" w:rsidP="00626333"/>
    <w:p w14:paraId="4818F020" w14:textId="77777777" w:rsidR="003B03AB" w:rsidRPr="007B3BB8" w:rsidRDefault="003B03AB" w:rsidP="003B03AB">
      <w:pPr>
        <w:ind w:left="720" w:hanging="720"/>
      </w:pPr>
      <w:r w:rsidRPr="007B3BB8">
        <w:lastRenderedPageBreak/>
        <w:t xml:space="preserve">Rabinow, Paul. 1996. </w:t>
      </w:r>
      <w:r w:rsidRPr="007B3BB8">
        <w:rPr>
          <w:i/>
          <w:iCs/>
        </w:rPr>
        <w:t>Making PCR</w:t>
      </w:r>
      <w:r w:rsidRPr="007B3BB8">
        <w:rPr>
          <w:i/>
        </w:rPr>
        <w:t>: A Story of Biotechnology</w:t>
      </w:r>
      <w:r w:rsidRPr="007B3BB8">
        <w:t>. Chicago: University of Chicago Press.</w:t>
      </w:r>
    </w:p>
    <w:p w14:paraId="7FC0E366" w14:textId="77777777" w:rsidR="003B03AB" w:rsidRPr="007B3BB8" w:rsidRDefault="003B03AB" w:rsidP="003B03AB">
      <w:pPr>
        <w:ind w:left="720" w:hanging="720"/>
      </w:pPr>
    </w:p>
    <w:p w14:paraId="25E0AFDA" w14:textId="77777777" w:rsidR="007F0B74" w:rsidRPr="007B3BB8" w:rsidRDefault="003738FF" w:rsidP="003B03AB">
      <w:pPr>
        <w:ind w:left="720" w:hanging="720"/>
      </w:pPr>
      <w:r w:rsidRPr="007B3BB8">
        <w:t xml:space="preserve">Taylor, Charles. 2004. </w:t>
      </w:r>
      <w:r w:rsidRPr="007B3BB8">
        <w:rPr>
          <w:i/>
        </w:rPr>
        <w:t>Modern Social Imaginaries</w:t>
      </w:r>
      <w:r w:rsidRPr="007B3BB8">
        <w:t>. Durham, NC: Duke University Press.</w:t>
      </w:r>
    </w:p>
    <w:p w14:paraId="37C6F1F9" w14:textId="77777777" w:rsidR="007F0B74" w:rsidRPr="007B3BB8" w:rsidRDefault="007F0B74">
      <w:r w:rsidRPr="007B3BB8">
        <w:br w:type="page"/>
      </w:r>
    </w:p>
    <w:p w14:paraId="663DA4A3" w14:textId="77777777" w:rsidR="00640B97" w:rsidRPr="007B3BB8" w:rsidRDefault="007F0B74" w:rsidP="007F0B74">
      <w:pPr>
        <w:ind w:left="720" w:hanging="720"/>
      </w:pPr>
      <w:r w:rsidRPr="007B3BB8">
        <w:lastRenderedPageBreak/>
        <w:t>ENDNOTES</w:t>
      </w:r>
      <w:r w:rsidR="003738FF" w:rsidRPr="007B3BB8">
        <w:t xml:space="preserve"> </w:t>
      </w:r>
    </w:p>
    <w:sectPr w:rsidR="00640B97" w:rsidRPr="007B3BB8" w:rsidSect="00AB7DD3">
      <w:footerReference w:type="even" r:id="rId7"/>
      <w:footerReference w:type="default" r:id="rId8"/>
      <w:endnotePr>
        <w:numFmt w:val="decimal"/>
      </w:end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B62CF" w14:textId="77777777" w:rsidR="00E5066A" w:rsidRDefault="00E5066A" w:rsidP="005B3C26"/>
  </w:endnote>
  <w:endnote w:type="continuationSeparator" w:id="0">
    <w:p w14:paraId="74DE4C91" w14:textId="77777777" w:rsidR="00E5066A" w:rsidRDefault="00E5066A" w:rsidP="005B3C26"/>
  </w:endnote>
  <w:endnote w:id="1">
    <w:p w14:paraId="6BDE7587" w14:textId="77777777" w:rsidR="00E5066A" w:rsidRDefault="00E5066A">
      <w:pPr>
        <w:pStyle w:val="EndnoteText"/>
      </w:pPr>
      <w:r>
        <w:rPr>
          <w:rStyle w:val="EndnoteReference"/>
        </w:rPr>
        <w:endnoteRef/>
      </w:r>
      <w:r>
        <w:t xml:space="preserve"> Many outside the field of science and technology studies understand STS to be simply about characterizing how science works and how technological objects and systems are produced.  This is STS in a narrow sense.  STS, properly understood, includes the full-blown investigation of science and technology in society, hence not only how truth claims are established or machines are made, but also how the social, political, and cultural authority of science interacts with that of other powerful institutions.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1C126" w14:textId="77777777" w:rsidR="00E5066A" w:rsidRDefault="00E5066A" w:rsidP="001B2B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EB904A" w14:textId="77777777" w:rsidR="00E5066A" w:rsidRDefault="00E5066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45909" w14:textId="77777777" w:rsidR="00E5066A" w:rsidRDefault="00E5066A" w:rsidP="001B2BA4">
    <w:pPr>
      <w:pStyle w:val="Footer"/>
      <w:framePr w:wrap="around" w:vAnchor="text" w:hAnchor="margin" w:xAlign="center" w:y="1"/>
      <w:rPr>
        <w:rStyle w:val="PageNumber"/>
      </w:rPr>
    </w:pPr>
    <w:r>
      <w:rPr>
        <w:rStyle w:val="PageNumber"/>
      </w:rPr>
      <w:t xml:space="preserve">Jasanoff – Conclusion – P. </w:t>
    </w:r>
    <w:r>
      <w:rPr>
        <w:rStyle w:val="PageNumber"/>
      </w:rPr>
      <w:fldChar w:fldCharType="begin"/>
    </w:r>
    <w:r>
      <w:rPr>
        <w:rStyle w:val="PageNumber"/>
      </w:rPr>
      <w:instrText xml:space="preserve">PAGE  </w:instrText>
    </w:r>
    <w:r>
      <w:rPr>
        <w:rStyle w:val="PageNumber"/>
      </w:rPr>
      <w:fldChar w:fldCharType="separate"/>
    </w:r>
    <w:r>
      <w:rPr>
        <w:rStyle w:val="PageNumber"/>
        <w:noProof/>
      </w:rPr>
      <w:t>27</w:t>
    </w:r>
    <w:r>
      <w:rPr>
        <w:rStyle w:val="PageNumber"/>
      </w:rPr>
      <w:fldChar w:fldCharType="end"/>
    </w:r>
  </w:p>
  <w:p w14:paraId="5FA87CCB" w14:textId="77777777" w:rsidR="00E5066A" w:rsidRDefault="00E5066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E1F07B" w14:textId="77777777" w:rsidR="00E5066A" w:rsidRDefault="00E5066A" w:rsidP="005B3C26">
      <w:r>
        <w:separator/>
      </w:r>
    </w:p>
  </w:footnote>
  <w:footnote w:type="continuationSeparator" w:id="0">
    <w:p w14:paraId="7AFF2D98" w14:textId="77777777" w:rsidR="00E5066A" w:rsidRDefault="00E5066A" w:rsidP="005B3C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en-US" w:vendorID="64" w:dllVersion="131078" w:nlCheck="1" w:checkStyle="1"/>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useFELayout/>
    <w:compatSetting w:name="compatibilityMode" w:uri="http://schemas.microsoft.com/office/word" w:val="12"/>
  </w:compat>
  <w:rsids>
    <w:rsidRoot w:val="00640B97"/>
    <w:rsid w:val="00003561"/>
    <w:rsid w:val="00003EDA"/>
    <w:rsid w:val="00004A3F"/>
    <w:rsid w:val="00007209"/>
    <w:rsid w:val="00011610"/>
    <w:rsid w:val="000123D8"/>
    <w:rsid w:val="00012FFD"/>
    <w:rsid w:val="000165F0"/>
    <w:rsid w:val="0001752E"/>
    <w:rsid w:val="0001782E"/>
    <w:rsid w:val="00020C37"/>
    <w:rsid w:val="00024DB7"/>
    <w:rsid w:val="00027A67"/>
    <w:rsid w:val="00030F30"/>
    <w:rsid w:val="000359EA"/>
    <w:rsid w:val="00035B7F"/>
    <w:rsid w:val="0003795E"/>
    <w:rsid w:val="00040EEB"/>
    <w:rsid w:val="00042B81"/>
    <w:rsid w:val="00052F82"/>
    <w:rsid w:val="00054157"/>
    <w:rsid w:val="000547B2"/>
    <w:rsid w:val="00056267"/>
    <w:rsid w:val="00057EC9"/>
    <w:rsid w:val="0006370B"/>
    <w:rsid w:val="00065EC9"/>
    <w:rsid w:val="00066842"/>
    <w:rsid w:val="00073925"/>
    <w:rsid w:val="000776A3"/>
    <w:rsid w:val="0008098A"/>
    <w:rsid w:val="0008198B"/>
    <w:rsid w:val="00083A10"/>
    <w:rsid w:val="00092E07"/>
    <w:rsid w:val="00097231"/>
    <w:rsid w:val="000A3DFA"/>
    <w:rsid w:val="000A41F8"/>
    <w:rsid w:val="000A6064"/>
    <w:rsid w:val="000A7A42"/>
    <w:rsid w:val="000B3A71"/>
    <w:rsid w:val="000B47B8"/>
    <w:rsid w:val="000C01AF"/>
    <w:rsid w:val="000C3F68"/>
    <w:rsid w:val="000C792D"/>
    <w:rsid w:val="000D43B9"/>
    <w:rsid w:val="000D6817"/>
    <w:rsid w:val="000E3501"/>
    <w:rsid w:val="000F4D5C"/>
    <w:rsid w:val="00107905"/>
    <w:rsid w:val="001130D8"/>
    <w:rsid w:val="00113789"/>
    <w:rsid w:val="00115784"/>
    <w:rsid w:val="00122567"/>
    <w:rsid w:val="00124052"/>
    <w:rsid w:val="001276D9"/>
    <w:rsid w:val="001319F8"/>
    <w:rsid w:val="001336E8"/>
    <w:rsid w:val="001356C3"/>
    <w:rsid w:val="00144097"/>
    <w:rsid w:val="00150D1C"/>
    <w:rsid w:val="001522F1"/>
    <w:rsid w:val="00152B5F"/>
    <w:rsid w:val="00152F43"/>
    <w:rsid w:val="00154C7C"/>
    <w:rsid w:val="00162A1E"/>
    <w:rsid w:val="00171936"/>
    <w:rsid w:val="001746ED"/>
    <w:rsid w:val="00184B30"/>
    <w:rsid w:val="001864A9"/>
    <w:rsid w:val="00186D77"/>
    <w:rsid w:val="001925F7"/>
    <w:rsid w:val="001940DD"/>
    <w:rsid w:val="00194C14"/>
    <w:rsid w:val="0019687C"/>
    <w:rsid w:val="001A26BD"/>
    <w:rsid w:val="001A5D6D"/>
    <w:rsid w:val="001A6ED4"/>
    <w:rsid w:val="001B2BA4"/>
    <w:rsid w:val="001B3588"/>
    <w:rsid w:val="001B6E5F"/>
    <w:rsid w:val="001B71BF"/>
    <w:rsid w:val="001B7F3D"/>
    <w:rsid w:val="001C2900"/>
    <w:rsid w:val="001C4C60"/>
    <w:rsid w:val="001D0478"/>
    <w:rsid w:val="001D1199"/>
    <w:rsid w:val="001E5693"/>
    <w:rsid w:val="001F5EC3"/>
    <w:rsid w:val="001F7A00"/>
    <w:rsid w:val="001F7EAD"/>
    <w:rsid w:val="00201E12"/>
    <w:rsid w:val="002048DA"/>
    <w:rsid w:val="002074FE"/>
    <w:rsid w:val="00213F81"/>
    <w:rsid w:val="00216A9D"/>
    <w:rsid w:val="00217546"/>
    <w:rsid w:val="002202CA"/>
    <w:rsid w:val="0022179E"/>
    <w:rsid w:val="00226A83"/>
    <w:rsid w:val="002326B4"/>
    <w:rsid w:val="00232DEA"/>
    <w:rsid w:val="00232FD5"/>
    <w:rsid w:val="00237158"/>
    <w:rsid w:val="00245DBB"/>
    <w:rsid w:val="00245EC0"/>
    <w:rsid w:val="00246498"/>
    <w:rsid w:val="00252BB1"/>
    <w:rsid w:val="00252E80"/>
    <w:rsid w:val="00255C58"/>
    <w:rsid w:val="00262374"/>
    <w:rsid w:val="00264FBA"/>
    <w:rsid w:val="00271EAD"/>
    <w:rsid w:val="00273471"/>
    <w:rsid w:val="00274A70"/>
    <w:rsid w:val="002763EC"/>
    <w:rsid w:val="00276C78"/>
    <w:rsid w:val="00280B48"/>
    <w:rsid w:val="0028747B"/>
    <w:rsid w:val="0029334F"/>
    <w:rsid w:val="00293A6E"/>
    <w:rsid w:val="002A4B4B"/>
    <w:rsid w:val="002A780F"/>
    <w:rsid w:val="002B04DC"/>
    <w:rsid w:val="002B2056"/>
    <w:rsid w:val="002B3BEF"/>
    <w:rsid w:val="002C1875"/>
    <w:rsid w:val="002C1B6F"/>
    <w:rsid w:val="002C5255"/>
    <w:rsid w:val="002C6A47"/>
    <w:rsid w:val="002C78AE"/>
    <w:rsid w:val="002D190F"/>
    <w:rsid w:val="002D262D"/>
    <w:rsid w:val="002E0057"/>
    <w:rsid w:val="002F3C80"/>
    <w:rsid w:val="002F3F25"/>
    <w:rsid w:val="00302139"/>
    <w:rsid w:val="003025C9"/>
    <w:rsid w:val="003056BC"/>
    <w:rsid w:val="00315E5D"/>
    <w:rsid w:val="0031610F"/>
    <w:rsid w:val="00317410"/>
    <w:rsid w:val="0032699F"/>
    <w:rsid w:val="00326E82"/>
    <w:rsid w:val="00327CAD"/>
    <w:rsid w:val="00336562"/>
    <w:rsid w:val="00336B2E"/>
    <w:rsid w:val="00343A87"/>
    <w:rsid w:val="0034719B"/>
    <w:rsid w:val="003506CC"/>
    <w:rsid w:val="0035230B"/>
    <w:rsid w:val="00355003"/>
    <w:rsid w:val="00363A88"/>
    <w:rsid w:val="003700D6"/>
    <w:rsid w:val="00371513"/>
    <w:rsid w:val="003738FF"/>
    <w:rsid w:val="00376564"/>
    <w:rsid w:val="003774E6"/>
    <w:rsid w:val="00386B36"/>
    <w:rsid w:val="003874FD"/>
    <w:rsid w:val="00394B4E"/>
    <w:rsid w:val="00395CF7"/>
    <w:rsid w:val="00396127"/>
    <w:rsid w:val="003A7DDB"/>
    <w:rsid w:val="003B03AB"/>
    <w:rsid w:val="003B5F50"/>
    <w:rsid w:val="003B63CF"/>
    <w:rsid w:val="003B642B"/>
    <w:rsid w:val="003B720B"/>
    <w:rsid w:val="003C1B00"/>
    <w:rsid w:val="003C1B05"/>
    <w:rsid w:val="003C1FC9"/>
    <w:rsid w:val="003C6BEA"/>
    <w:rsid w:val="003D5FD5"/>
    <w:rsid w:val="003E022C"/>
    <w:rsid w:val="003F0DF3"/>
    <w:rsid w:val="003F101C"/>
    <w:rsid w:val="003F4F05"/>
    <w:rsid w:val="0040542F"/>
    <w:rsid w:val="00407B59"/>
    <w:rsid w:val="0041075F"/>
    <w:rsid w:val="00413AE2"/>
    <w:rsid w:val="00426456"/>
    <w:rsid w:val="0044090E"/>
    <w:rsid w:val="00444820"/>
    <w:rsid w:val="0044677F"/>
    <w:rsid w:val="00446B86"/>
    <w:rsid w:val="004503A2"/>
    <w:rsid w:val="004503F3"/>
    <w:rsid w:val="00453DA1"/>
    <w:rsid w:val="00456A4C"/>
    <w:rsid w:val="004641B9"/>
    <w:rsid w:val="00472199"/>
    <w:rsid w:val="004724F2"/>
    <w:rsid w:val="00481D01"/>
    <w:rsid w:val="00484023"/>
    <w:rsid w:val="00484522"/>
    <w:rsid w:val="0048568D"/>
    <w:rsid w:val="004875AF"/>
    <w:rsid w:val="00493100"/>
    <w:rsid w:val="00495DC9"/>
    <w:rsid w:val="00496D67"/>
    <w:rsid w:val="004A227B"/>
    <w:rsid w:val="004A2F3A"/>
    <w:rsid w:val="004A60D6"/>
    <w:rsid w:val="004B3A4A"/>
    <w:rsid w:val="004B3AC9"/>
    <w:rsid w:val="004B420A"/>
    <w:rsid w:val="004B5890"/>
    <w:rsid w:val="004C2877"/>
    <w:rsid w:val="004D184B"/>
    <w:rsid w:val="004D1989"/>
    <w:rsid w:val="004D72FF"/>
    <w:rsid w:val="004D7618"/>
    <w:rsid w:val="004E22D4"/>
    <w:rsid w:val="004E287A"/>
    <w:rsid w:val="004E7BED"/>
    <w:rsid w:val="004F0679"/>
    <w:rsid w:val="004F2D8B"/>
    <w:rsid w:val="004F5ABD"/>
    <w:rsid w:val="005008C9"/>
    <w:rsid w:val="00502B63"/>
    <w:rsid w:val="00503B76"/>
    <w:rsid w:val="005075A5"/>
    <w:rsid w:val="00511754"/>
    <w:rsid w:val="00512600"/>
    <w:rsid w:val="00512EF6"/>
    <w:rsid w:val="0052151C"/>
    <w:rsid w:val="005231C5"/>
    <w:rsid w:val="005258F1"/>
    <w:rsid w:val="00525F16"/>
    <w:rsid w:val="00530056"/>
    <w:rsid w:val="00530ACD"/>
    <w:rsid w:val="00534304"/>
    <w:rsid w:val="005370BF"/>
    <w:rsid w:val="00540957"/>
    <w:rsid w:val="00547053"/>
    <w:rsid w:val="005506D7"/>
    <w:rsid w:val="00556385"/>
    <w:rsid w:val="00556F0D"/>
    <w:rsid w:val="00557D2B"/>
    <w:rsid w:val="005616D0"/>
    <w:rsid w:val="00562B3A"/>
    <w:rsid w:val="00566AF7"/>
    <w:rsid w:val="00567A2B"/>
    <w:rsid w:val="0057154C"/>
    <w:rsid w:val="0057251E"/>
    <w:rsid w:val="00572E15"/>
    <w:rsid w:val="005739F8"/>
    <w:rsid w:val="0057788B"/>
    <w:rsid w:val="0059000E"/>
    <w:rsid w:val="00591061"/>
    <w:rsid w:val="0059153A"/>
    <w:rsid w:val="0059221D"/>
    <w:rsid w:val="00595571"/>
    <w:rsid w:val="00597B2E"/>
    <w:rsid w:val="005B3C26"/>
    <w:rsid w:val="005B60BF"/>
    <w:rsid w:val="005D1C99"/>
    <w:rsid w:val="005E4F1D"/>
    <w:rsid w:val="005F0D27"/>
    <w:rsid w:val="005F4679"/>
    <w:rsid w:val="005F5B9E"/>
    <w:rsid w:val="005F675E"/>
    <w:rsid w:val="00605C4B"/>
    <w:rsid w:val="00606F85"/>
    <w:rsid w:val="00612CD3"/>
    <w:rsid w:val="0061663F"/>
    <w:rsid w:val="006250FA"/>
    <w:rsid w:val="00626333"/>
    <w:rsid w:val="00626DA7"/>
    <w:rsid w:val="00640B97"/>
    <w:rsid w:val="00650A05"/>
    <w:rsid w:val="0065359B"/>
    <w:rsid w:val="00656D41"/>
    <w:rsid w:val="006612FB"/>
    <w:rsid w:val="00663042"/>
    <w:rsid w:val="00664B19"/>
    <w:rsid w:val="006650B6"/>
    <w:rsid w:val="0066596B"/>
    <w:rsid w:val="00665AE6"/>
    <w:rsid w:val="00666692"/>
    <w:rsid w:val="006673CC"/>
    <w:rsid w:val="006679E8"/>
    <w:rsid w:val="00670420"/>
    <w:rsid w:val="0067056D"/>
    <w:rsid w:val="0067257A"/>
    <w:rsid w:val="0068347D"/>
    <w:rsid w:val="006842C6"/>
    <w:rsid w:val="00686495"/>
    <w:rsid w:val="00695ABC"/>
    <w:rsid w:val="00697CD4"/>
    <w:rsid w:val="006A2597"/>
    <w:rsid w:val="006A514A"/>
    <w:rsid w:val="006B4248"/>
    <w:rsid w:val="006C02EB"/>
    <w:rsid w:val="006C6429"/>
    <w:rsid w:val="006C65FD"/>
    <w:rsid w:val="006C6EB2"/>
    <w:rsid w:val="006C7038"/>
    <w:rsid w:val="006D6800"/>
    <w:rsid w:val="006E744F"/>
    <w:rsid w:val="006E7F03"/>
    <w:rsid w:val="006F1D42"/>
    <w:rsid w:val="006F2D40"/>
    <w:rsid w:val="006F536A"/>
    <w:rsid w:val="006F6380"/>
    <w:rsid w:val="006F66E6"/>
    <w:rsid w:val="007015AC"/>
    <w:rsid w:val="00701D74"/>
    <w:rsid w:val="007127D4"/>
    <w:rsid w:val="0071414D"/>
    <w:rsid w:val="00715BB6"/>
    <w:rsid w:val="007165AE"/>
    <w:rsid w:val="00722E84"/>
    <w:rsid w:val="00723009"/>
    <w:rsid w:val="00726AAB"/>
    <w:rsid w:val="007411E1"/>
    <w:rsid w:val="00743165"/>
    <w:rsid w:val="007439E5"/>
    <w:rsid w:val="007525D7"/>
    <w:rsid w:val="00753180"/>
    <w:rsid w:val="00755420"/>
    <w:rsid w:val="00755C27"/>
    <w:rsid w:val="007650CD"/>
    <w:rsid w:val="00773338"/>
    <w:rsid w:val="0077344F"/>
    <w:rsid w:val="00774F74"/>
    <w:rsid w:val="0077509D"/>
    <w:rsid w:val="007765AA"/>
    <w:rsid w:val="00780098"/>
    <w:rsid w:val="00783707"/>
    <w:rsid w:val="00783FEE"/>
    <w:rsid w:val="00787E33"/>
    <w:rsid w:val="00793008"/>
    <w:rsid w:val="00795764"/>
    <w:rsid w:val="007A0315"/>
    <w:rsid w:val="007A0753"/>
    <w:rsid w:val="007A25E3"/>
    <w:rsid w:val="007A5AF1"/>
    <w:rsid w:val="007A6249"/>
    <w:rsid w:val="007A651D"/>
    <w:rsid w:val="007A7B76"/>
    <w:rsid w:val="007B3BB8"/>
    <w:rsid w:val="007B4124"/>
    <w:rsid w:val="007B512B"/>
    <w:rsid w:val="007B5657"/>
    <w:rsid w:val="007C1172"/>
    <w:rsid w:val="007C1D76"/>
    <w:rsid w:val="007C6765"/>
    <w:rsid w:val="007C7D02"/>
    <w:rsid w:val="007D33AE"/>
    <w:rsid w:val="007D3AF4"/>
    <w:rsid w:val="007D54F1"/>
    <w:rsid w:val="007D7097"/>
    <w:rsid w:val="007E616E"/>
    <w:rsid w:val="007F0AA4"/>
    <w:rsid w:val="007F0B74"/>
    <w:rsid w:val="007F12CB"/>
    <w:rsid w:val="007F52C8"/>
    <w:rsid w:val="00800E2E"/>
    <w:rsid w:val="00802B66"/>
    <w:rsid w:val="008047CD"/>
    <w:rsid w:val="00804B4E"/>
    <w:rsid w:val="0080501D"/>
    <w:rsid w:val="0081360A"/>
    <w:rsid w:val="00823C00"/>
    <w:rsid w:val="00826146"/>
    <w:rsid w:val="0083195C"/>
    <w:rsid w:val="008356E1"/>
    <w:rsid w:val="00837DEA"/>
    <w:rsid w:val="0084048A"/>
    <w:rsid w:val="008422F8"/>
    <w:rsid w:val="00842581"/>
    <w:rsid w:val="00843419"/>
    <w:rsid w:val="00844EEB"/>
    <w:rsid w:val="0085489F"/>
    <w:rsid w:val="008550AF"/>
    <w:rsid w:val="00856924"/>
    <w:rsid w:val="00857406"/>
    <w:rsid w:val="0086167C"/>
    <w:rsid w:val="00863A36"/>
    <w:rsid w:val="008641FB"/>
    <w:rsid w:val="00864304"/>
    <w:rsid w:val="00880A11"/>
    <w:rsid w:val="00883206"/>
    <w:rsid w:val="00886E60"/>
    <w:rsid w:val="00891199"/>
    <w:rsid w:val="00891870"/>
    <w:rsid w:val="008936CB"/>
    <w:rsid w:val="00894BDD"/>
    <w:rsid w:val="00895A4C"/>
    <w:rsid w:val="0089625D"/>
    <w:rsid w:val="008979D9"/>
    <w:rsid w:val="008A002D"/>
    <w:rsid w:val="008A16A1"/>
    <w:rsid w:val="008A717D"/>
    <w:rsid w:val="008A7EF7"/>
    <w:rsid w:val="008B19B2"/>
    <w:rsid w:val="008B1C0C"/>
    <w:rsid w:val="008B2377"/>
    <w:rsid w:val="008B534C"/>
    <w:rsid w:val="008B551B"/>
    <w:rsid w:val="008B792C"/>
    <w:rsid w:val="008B7E97"/>
    <w:rsid w:val="008C2250"/>
    <w:rsid w:val="008C539A"/>
    <w:rsid w:val="008D3B32"/>
    <w:rsid w:val="008D74EA"/>
    <w:rsid w:val="008E1CAD"/>
    <w:rsid w:val="008E204C"/>
    <w:rsid w:val="008E3A0F"/>
    <w:rsid w:val="008E6A1D"/>
    <w:rsid w:val="008E7032"/>
    <w:rsid w:val="008E7715"/>
    <w:rsid w:val="008F5FDB"/>
    <w:rsid w:val="008F6786"/>
    <w:rsid w:val="008F766D"/>
    <w:rsid w:val="00900B72"/>
    <w:rsid w:val="00901FDD"/>
    <w:rsid w:val="00904CE7"/>
    <w:rsid w:val="00907807"/>
    <w:rsid w:val="0091606E"/>
    <w:rsid w:val="009179F9"/>
    <w:rsid w:val="00922AB9"/>
    <w:rsid w:val="00924E81"/>
    <w:rsid w:val="00932100"/>
    <w:rsid w:val="0094655D"/>
    <w:rsid w:val="00957826"/>
    <w:rsid w:val="00961928"/>
    <w:rsid w:val="00962495"/>
    <w:rsid w:val="00962CC8"/>
    <w:rsid w:val="009633AD"/>
    <w:rsid w:val="009644FF"/>
    <w:rsid w:val="009646D8"/>
    <w:rsid w:val="0096750A"/>
    <w:rsid w:val="0097053F"/>
    <w:rsid w:val="00971E4A"/>
    <w:rsid w:val="00976D43"/>
    <w:rsid w:val="00980527"/>
    <w:rsid w:val="0098755A"/>
    <w:rsid w:val="00992F61"/>
    <w:rsid w:val="009B770C"/>
    <w:rsid w:val="009B7E04"/>
    <w:rsid w:val="009C664B"/>
    <w:rsid w:val="009C7690"/>
    <w:rsid w:val="009D7438"/>
    <w:rsid w:val="009E0325"/>
    <w:rsid w:val="009E2970"/>
    <w:rsid w:val="009E61A8"/>
    <w:rsid w:val="009E68E3"/>
    <w:rsid w:val="009F6CBE"/>
    <w:rsid w:val="009F7845"/>
    <w:rsid w:val="00A04501"/>
    <w:rsid w:val="00A06169"/>
    <w:rsid w:val="00A074E8"/>
    <w:rsid w:val="00A0778C"/>
    <w:rsid w:val="00A1181D"/>
    <w:rsid w:val="00A12D10"/>
    <w:rsid w:val="00A341C0"/>
    <w:rsid w:val="00A370FE"/>
    <w:rsid w:val="00A40EF8"/>
    <w:rsid w:val="00A515E0"/>
    <w:rsid w:val="00A64FE8"/>
    <w:rsid w:val="00A65C48"/>
    <w:rsid w:val="00A66EC2"/>
    <w:rsid w:val="00A7466A"/>
    <w:rsid w:val="00A7470B"/>
    <w:rsid w:val="00A76272"/>
    <w:rsid w:val="00A76528"/>
    <w:rsid w:val="00A81D98"/>
    <w:rsid w:val="00A84693"/>
    <w:rsid w:val="00A86A40"/>
    <w:rsid w:val="00A873B7"/>
    <w:rsid w:val="00A87893"/>
    <w:rsid w:val="00A91A0B"/>
    <w:rsid w:val="00A93A35"/>
    <w:rsid w:val="00A95F96"/>
    <w:rsid w:val="00AB1674"/>
    <w:rsid w:val="00AB1D75"/>
    <w:rsid w:val="00AB43D4"/>
    <w:rsid w:val="00AB7DD3"/>
    <w:rsid w:val="00AC3FC1"/>
    <w:rsid w:val="00AC7146"/>
    <w:rsid w:val="00AC7839"/>
    <w:rsid w:val="00AC7C55"/>
    <w:rsid w:val="00AD10A9"/>
    <w:rsid w:val="00AD3615"/>
    <w:rsid w:val="00AD393E"/>
    <w:rsid w:val="00AD5ED3"/>
    <w:rsid w:val="00AD6F9C"/>
    <w:rsid w:val="00AD7D48"/>
    <w:rsid w:val="00AE1468"/>
    <w:rsid w:val="00AE376C"/>
    <w:rsid w:val="00AE3C5D"/>
    <w:rsid w:val="00AF252A"/>
    <w:rsid w:val="00AF7AD0"/>
    <w:rsid w:val="00B00D23"/>
    <w:rsid w:val="00B015A3"/>
    <w:rsid w:val="00B03884"/>
    <w:rsid w:val="00B03F4B"/>
    <w:rsid w:val="00B047FC"/>
    <w:rsid w:val="00B05BB6"/>
    <w:rsid w:val="00B105FE"/>
    <w:rsid w:val="00B11E7C"/>
    <w:rsid w:val="00B139F0"/>
    <w:rsid w:val="00B20B44"/>
    <w:rsid w:val="00B24C32"/>
    <w:rsid w:val="00B301C2"/>
    <w:rsid w:val="00B30E33"/>
    <w:rsid w:val="00B32529"/>
    <w:rsid w:val="00B474CC"/>
    <w:rsid w:val="00B528AE"/>
    <w:rsid w:val="00B52B03"/>
    <w:rsid w:val="00B53D13"/>
    <w:rsid w:val="00B6532C"/>
    <w:rsid w:val="00B72ADD"/>
    <w:rsid w:val="00B772BC"/>
    <w:rsid w:val="00B80703"/>
    <w:rsid w:val="00B836D4"/>
    <w:rsid w:val="00B86BF8"/>
    <w:rsid w:val="00B92F08"/>
    <w:rsid w:val="00B96559"/>
    <w:rsid w:val="00BA27FA"/>
    <w:rsid w:val="00BA3BB2"/>
    <w:rsid w:val="00BA50B3"/>
    <w:rsid w:val="00BA518C"/>
    <w:rsid w:val="00BB4CE3"/>
    <w:rsid w:val="00BB5E8E"/>
    <w:rsid w:val="00BC1260"/>
    <w:rsid w:val="00BC5E60"/>
    <w:rsid w:val="00BD1AA0"/>
    <w:rsid w:val="00BD45D3"/>
    <w:rsid w:val="00BD5C32"/>
    <w:rsid w:val="00BD6725"/>
    <w:rsid w:val="00BF0D99"/>
    <w:rsid w:val="00BF1534"/>
    <w:rsid w:val="00BF4879"/>
    <w:rsid w:val="00BF53A1"/>
    <w:rsid w:val="00C00E52"/>
    <w:rsid w:val="00C010C3"/>
    <w:rsid w:val="00C1102E"/>
    <w:rsid w:val="00C125D8"/>
    <w:rsid w:val="00C1320A"/>
    <w:rsid w:val="00C16A22"/>
    <w:rsid w:val="00C27C28"/>
    <w:rsid w:val="00C32044"/>
    <w:rsid w:val="00C345C7"/>
    <w:rsid w:val="00C36BC9"/>
    <w:rsid w:val="00C436E3"/>
    <w:rsid w:val="00C45F02"/>
    <w:rsid w:val="00C544CA"/>
    <w:rsid w:val="00C54BF3"/>
    <w:rsid w:val="00C570CF"/>
    <w:rsid w:val="00C6092B"/>
    <w:rsid w:val="00C6178F"/>
    <w:rsid w:val="00C67302"/>
    <w:rsid w:val="00C7213E"/>
    <w:rsid w:val="00C81335"/>
    <w:rsid w:val="00C904C0"/>
    <w:rsid w:val="00C91A76"/>
    <w:rsid w:val="00C92F88"/>
    <w:rsid w:val="00C93404"/>
    <w:rsid w:val="00C9481A"/>
    <w:rsid w:val="00C94B7A"/>
    <w:rsid w:val="00C9683E"/>
    <w:rsid w:val="00C96E19"/>
    <w:rsid w:val="00CA0BD8"/>
    <w:rsid w:val="00CA2D87"/>
    <w:rsid w:val="00CA31CC"/>
    <w:rsid w:val="00CA56C3"/>
    <w:rsid w:val="00CA6896"/>
    <w:rsid w:val="00CB5BCE"/>
    <w:rsid w:val="00CD0D3C"/>
    <w:rsid w:val="00CD331C"/>
    <w:rsid w:val="00CD384C"/>
    <w:rsid w:val="00CE0AC7"/>
    <w:rsid w:val="00CE1120"/>
    <w:rsid w:val="00CE37ED"/>
    <w:rsid w:val="00CF2E23"/>
    <w:rsid w:val="00CF4BE8"/>
    <w:rsid w:val="00CF5567"/>
    <w:rsid w:val="00D03959"/>
    <w:rsid w:val="00D107E0"/>
    <w:rsid w:val="00D110D6"/>
    <w:rsid w:val="00D13E8D"/>
    <w:rsid w:val="00D13F2F"/>
    <w:rsid w:val="00D15AFC"/>
    <w:rsid w:val="00D16CA4"/>
    <w:rsid w:val="00D236FA"/>
    <w:rsid w:val="00D23819"/>
    <w:rsid w:val="00D3107A"/>
    <w:rsid w:val="00D35199"/>
    <w:rsid w:val="00D42663"/>
    <w:rsid w:val="00D50A58"/>
    <w:rsid w:val="00D53C24"/>
    <w:rsid w:val="00D542AD"/>
    <w:rsid w:val="00D56F50"/>
    <w:rsid w:val="00D62F82"/>
    <w:rsid w:val="00D65131"/>
    <w:rsid w:val="00D72673"/>
    <w:rsid w:val="00D758A9"/>
    <w:rsid w:val="00D8113D"/>
    <w:rsid w:val="00D81AAC"/>
    <w:rsid w:val="00D82B42"/>
    <w:rsid w:val="00D851B7"/>
    <w:rsid w:val="00D85BF6"/>
    <w:rsid w:val="00D905C2"/>
    <w:rsid w:val="00D92C9F"/>
    <w:rsid w:val="00D93178"/>
    <w:rsid w:val="00D9376F"/>
    <w:rsid w:val="00D94C55"/>
    <w:rsid w:val="00D965FA"/>
    <w:rsid w:val="00D96A41"/>
    <w:rsid w:val="00D97272"/>
    <w:rsid w:val="00D97843"/>
    <w:rsid w:val="00DA00FF"/>
    <w:rsid w:val="00DA464C"/>
    <w:rsid w:val="00DA537E"/>
    <w:rsid w:val="00DB0FEA"/>
    <w:rsid w:val="00DC072C"/>
    <w:rsid w:val="00DC0A60"/>
    <w:rsid w:val="00DC2B76"/>
    <w:rsid w:val="00DC596E"/>
    <w:rsid w:val="00DD15ED"/>
    <w:rsid w:val="00DD1B9C"/>
    <w:rsid w:val="00DD3B76"/>
    <w:rsid w:val="00DD4A58"/>
    <w:rsid w:val="00DD4E27"/>
    <w:rsid w:val="00DD68AA"/>
    <w:rsid w:val="00DD6CC8"/>
    <w:rsid w:val="00DD6E10"/>
    <w:rsid w:val="00DD7491"/>
    <w:rsid w:val="00DE543D"/>
    <w:rsid w:val="00DE791E"/>
    <w:rsid w:val="00DF002F"/>
    <w:rsid w:val="00DF0CC6"/>
    <w:rsid w:val="00DF1124"/>
    <w:rsid w:val="00DF1F49"/>
    <w:rsid w:val="00DF1FFA"/>
    <w:rsid w:val="00DF2CFD"/>
    <w:rsid w:val="00DF4645"/>
    <w:rsid w:val="00DF4C3F"/>
    <w:rsid w:val="00DF69C2"/>
    <w:rsid w:val="00DF69F4"/>
    <w:rsid w:val="00E014C4"/>
    <w:rsid w:val="00E03214"/>
    <w:rsid w:val="00E11A7D"/>
    <w:rsid w:val="00E1253A"/>
    <w:rsid w:val="00E12BBF"/>
    <w:rsid w:val="00E14857"/>
    <w:rsid w:val="00E2071A"/>
    <w:rsid w:val="00E26B73"/>
    <w:rsid w:val="00E26BA5"/>
    <w:rsid w:val="00E30ABD"/>
    <w:rsid w:val="00E310EE"/>
    <w:rsid w:val="00E33CFE"/>
    <w:rsid w:val="00E366C0"/>
    <w:rsid w:val="00E5066A"/>
    <w:rsid w:val="00E55F03"/>
    <w:rsid w:val="00E56477"/>
    <w:rsid w:val="00E56DED"/>
    <w:rsid w:val="00E66C9E"/>
    <w:rsid w:val="00E776F9"/>
    <w:rsid w:val="00E80935"/>
    <w:rsid w:val="00E82462"/>
    <w:rsid w:val="00E84B5D"/>
    <w:rsid w:val="00E87091"/>
    <w:rsid w:val="00E87D31"/>
    <w:rsid w:val="00E90564"/>
    <w:rsid w:val="00E93126"/>
    <w:rsid w:val="00EA19AD"/>
    <w:rsid w:val="00EA2689"/>
    <w:rsid w:val="00EB1630"/>
    <w:rsid w:val="00EB4265"/>
    <w:rsid w:val="00EB6318"/>
    <w:rsid w:val="00EC01FA"/>
    <w:rsid w:val="00EC0806"/>
    <w:rsid w:val="00EC5C69"/>
    <w:rsid w:val="00EC6709"/>
    <w:rsid w:val="00EE11F7"/>
    <w:rsid w:val="00EE44D2"/>
    <w:rsid w:val="00EF0911"/>
    <w:rsid w:val="00EF1F5C"/>
    <w:rsid w:val="00EF3378"/>
    <w:rsid w:val="00EF41D3"/>
    <w:rsid w:val="00EF4E26"/>
    <w:rsid w:val="00F001D7"/>
    <w:rsid w:val="00F02361"/>
    <w:rsid w:val="00F077C4"/>
    <w:rsid w:val="00F10F75"/>
    <w:rsid w:val="00F14C3B"/>
    <w:rsid w:val="00F20311"/>
    <w:rsid w:val="00F2269D"/>
    <w:rsid w:val="00F24211"/>
    <w:rsid w:val="00F24A1E"/>
    <w:rsid w:val="00F24BF2"/>
    <w:rsid w:val="00F26001"/>
    <w:rsid w:val="00F30EE6"/>
    <w:rsid w:val="00F35B1A"/>
    <w:rsid w:val="00F5277A"/>
    <w:rsid w:val="00F5631A"/>
    <w:rsid w:val="00F748A3"/>
    <w:rsid w:val="00F964AC"/>
    <w:rsid w:val="00F97A8E"/>
    <w:rsid w:val="00FA170E"/>
    <w:rsid w:val="00FB079A"/>
    <w:rsid w:val="00FB0BCA"/>
    <w:rsid w:val="00FB173F"/>
    <w:rsid w:val="00FC1447"/>
    <w:rsid w:val="00FC4D2D"/>
    <w:rsid w:val="00FC5057"/>
    <w:rsid w:val="00FC5A08"/>
    <w:rsid w:val="00FC5D97"/>
    <w:rsid w:val="00FC7B76"/>
    <w:rsid w:val="00FD0B53"/>
    <w:rsid w:val="00FD0C7F"/>
    <w:rsid w:val="00FD67AA"/>
    <w:rsid w:val="00FE2E16"/>
    <w:rsid w:val="00FE4851"/>
    <w:rsid w:val="00FF09DE"/>
    <w:rsid w:val="00FF3B0C"/>
    <w:rsid w:val="00FF3C9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770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5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C26"/>
    <w:pPr>
      <w:tabs>
        <w:tab w:val="center" w:pos="4320"/>
        <w:tab w:val="right" w:pos="8640"/>
      </w:tabs>
    </w:pPr>
  </w:style>
  <w:style w:type="character" w:customStyle="1" w:styleId="HeaderChar">
    <w:name w:val="Header Char"/>
    <w:basedOn w:val="DefaultParagraphFont"/>
    <w:link w:val="Header"/>
    <w:uiPriority w:val="99"/>
    <w:rsid w:val="005B3C26"/>
  </w:style>
  <w:style w:type="paragraph" w:styleId="Footer">
    <w:name w:val="footer"/>
    <w:basedOn w:val="Normal"/>
    <w:link w:val="FooterChar"/>
    <w:uiPriority w:val="99"/>
    <w:unhideWhenUsed/>
    <w:rsid w:val="005B3C26"/>
    <w:pPr>
      <w:tabs>
        <w:tab w:val="center" w:pos="4320"/>
        <w:tab w:val="right" w:pos="8640"/>
      </w:tabs>
    </w:pPr>
  </w:style>
  <w:style w:type="character" w:customStyle="1" w:styleId="FooterChar">
    <w:name w:val="Footer Char"/>
    <w:basedOn w:val="DefaultParagraphFont"/>
    <w:link w:val="Footer"/>
    <w:uiPriority w:val="99"/>
    <w:rsid w:val="005B3C26"/>
  </w:style>
  <w:style w:type="character" w:styleId="PageNumber">
    <w:name w:val="page number"/>
    <w:basedOn w:val="DefaultParagraphFont"/>
    <w:uiPriority w:val="99"/>
    <w:semiHidden/>
    <w:unhideWhenUsed/>
    <w:rsid w:val="00605C4B"/>
  </w:style>
  <w:style w:type="paragraph" w:styleId="Index6">
    <w:name w:val="index 6"/>
    <w:basedOn w:val="Normal"/>
    <w:next w:val="Normal"/>
    <w:autoRedefine/>
    <w:uiPriority w:val="99"/>
    <w:semiHidden/>
    <w:unhideWhenUsed/>
    <w:rsid w:val="00AD3615"/>
    <w:pPr>
      <w:ind w:left="1440" w:hanging="240"/>
    </w:pPr>
  </w:style>
  <w:style w:type="character" w:styleId="CommentReference">
    <w:name w:val="annotation reference"/>
    <w:basedOn w:val="DefaultParagraphFont"/>
    <w:uiPriority w:val="99"/>
    <w:semiHidden/>
    <w:unhideWhenUsed/>
    <w:rsid w:val="007F0B74"/>
    <w:rPr>
      <w:sz w:val="18"/>
      <w:szCs w:val="18"/>
    </w:rPr>
  </w:style>
  <w:style w:type="paragraph" w:styleId="CommentText">
    <w:name w:val="annotation text"/>
    <w:basedOn w:val="Normal"/>
    <w:link w:val="CommentTextChar"/>
    <w:uiPriority w:val="99"/>
    <w:semiHidden/>
    <w:unhideWhenUsed/>
    <w:rsid w:val="007F0B74"/>
  </w:style>
  <w:style w:type="character" w:customStyle="1" w:styleId="CommentTextChar">
    <w:name w:val="Comment Text Char"/>
    <w:basedOn w:val="DefaultParagraphFont"/>
    <w:link w:val="CommentText"/>
    <w:uiPriority w:val="99"/>
    <w:semiHidden/>
    <w:rsid w:val="007F0B74"/>
  </w:style>
  <w:style w:type="paragraph" w:styleId="CommentSubject">
    <w:name w:val="annotation subject"/>
    <w:basedOn w:val="CommentText"/>
    <w:next w:val="CommentText"/>
    <w:link w:val="CommentSubjectChar"/>
    <w:uiPriority w:val="99"/>
    <w:semiHidden/>
    <w:unhideWhenUsed/>
    <w:rsid w:val="007F0B74"/>
    <w:rPr>
      <w:b/>
      <w:bCs/>
      <w:sz w:val="20"/>
      <w:szCs w:val="20"/>
    </w:rPr>
  </w:style>
  <w:style w:type="character" w:customStyle="1" w:styleId="CommentSubjectChar">
    <w:name w:val="Comment Subject Char"/>
    <w:basedOn w:val="CommentTextChar"/>
    <w:link w:val="CommentSubject"/>
    <w:uiPriority w:val="99"/>
    <w:semiHidden/>
    <w:rsid w:val="007F0B74"/>
    <w:rPr>
      <w:b/>
      <w:bCs/>
      <w:sz w:val="20"/>
      <w:szCs w:val="20"/>
    </w:rPr>
  </w:style>
  <w:style w:type="paragraph" w:styleId="BalloonText">
    <w:name w:val="Balloon Text"/>
    <w:basedOn w:val="Normal"/>
    <w:link w:val="BalloonTextChar"/>
    <w:uiPriority w:val="99"/>
    <w:semiHidden/>
    <w:unhideWhenUsed/>
    <w:rsid w:val="007F0B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B74"/>
    <w:rPr>
      <w:rFonts w:ascii="Lucida Grande" w:hAnsi="Lucida Grande" w:cs="Lucida Grande"/>
      <w:sz w:val="18"/>
      <w:szCs w:val="18"/>
    </w:rPr>
  </w:style>
  <w:style w:type="paragraph" w:styleId="EndnoteText">
    <w:name w:val="endnote text"/>
    <w:basedOn w:val="Normal"/>
    <w:link w:val="EndnoteTextChar"/>
    <w:uiPriority w:val="99"/>
    <w:unhideWhenUsed/>
    <w:rsid w:val="007F0B74"/>
  </w:style>
  <w:style w:type="character" w:customStyle="1" w:styleId="EndnoteTextChar">
    <w:name w:val="Endnote Text Char"/>
    <w:basedOn w:val="DefaultParagraphFont"/>
    <w:link w:val="EndnoteText"/>
    <w:uiPriority w:val="99"/>
    <w:rsid w:val="007F0B74"/>
  </w:style>
  <w:style w:type="character" w:styleId="EndnoteReference">
    <w:name w:val="endnote reference"/>
    <w:basedOn w:val="DefaultParagraphFont"/>
    <w:uiPriority w:val="99"/>
    <w:unhideWhenUsed/>
    <w:rsid w:val="007F0B74"/>
    <w:rPr>
      <w:vertAlign w:val="superscript"/>
    </w:rPr>
  </w:style>
  <w:style w:type="character" w:styleId="Hyperlink">
    <w:name w:val="Hyperlink"/>
    <w:basedOn w:val="DefaultParagraphFont"/>
    <w:uiPriority w:val="99"/>
    <w:unhideWhenUsed/>
    <w:rsid w:val="00DF002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C26"/>
    <w:pPr>
      <w:tabs>
        <w:tab w:val="center" w:pos="4320"/>
        <w:tab w:val="right" w:pos="8640"/>
      </w:tabs>
    </w:pPr>
  </w:style>
  <w:style w:type="character" w:customStyle="1" w:styleId="HeaderChar">
    <w:name w:val="Header Char"/>
    <w:basedOn w:val="DefaultParagraphFont"/>
    <w:link w:val="Header"/>
    <w:uiPriority w:val="99"/>
    <w:rsid w:val="005B3C26"/>
  </w:style>
  <w:style w:type="paragraph" w:styleId="Footer">
    <w:name w:val="footer"/>
    <w:basedOn w:val="Normal"/>
    <w:link w:val="FooterChar"/>
    <w:uiPriority w:val="99"/>
    <w:unhideWhenUsed/>
    <w:rsid w:val="005B3C26"/>
    <w:pPr>
      <w:tabs>
        <w:tab w:val="center" w:pos="4320"/>
        <w:tab w:val="right" w:pos="8640"/>
      </w:tabs>
    </w:pPr>
  </w:style>
  <w:style w:type="character" w:customStyle="1" w:styleId="FooterChar">
    <w:name w:val="Footer Char"/>
    <w:basedOn w:val="DefaultParagraphFont"/>
    <w:link w:val="Footer"/>
    <w:uiPriority w:val="99"/>
    <w:rsid w:val="005B3C26"/>
  </w:style>
  <w:style w:type="character" w:styleId="PageNumber">
    <w:name w:val="page number"/>
    <w:basedOn w:val="DefaultParagraphFont"/>
    <w:uiPriority w:val="99"/>
    <w:semiHidden/>
    <w:unhideWhenUsed/>
    <w:rsid w:val="00605C4B"/>
  </w:style>
  <w:style w:type="paragraph" w:styleId="Index6">
    <w:name w:val="index 6"/>
    <w:basedOn w:val="Normal"/>
    <w:next w:val="Normal"/>
    <w:autoRedefine/>
    <w:uiPriority w:val="99"/>
    <w:semiHidden/>
    <w:unhideWhenUsed/>
    <w:rsid w:val="00AD3615"/>
    <w:pPr>
      <w:ind w:left="1440" w:hanging="240"/>
    </w:pPr>
  </w:style>
  <w:style w:type="character" w:styleId="CommentReference">
    <w:name w:val="annotation reference"/>
    <w:basedOn w:val="DefaultParagraphFont"/>
    <w:uiPriority w:val="99"/>
    <w:semiHidden/>
    <w:unhideWhenUsed/>
    <w:rsid w:val="007F0B74"/>
    <w:rPr>
      <w:sz w:val="18"/>
      <w:szCs w:val="18"/>
    </w:rPr>
  </w:style>
  <w:style w:type="paragraph" w:styleId="CommentText">
    <w:name w:val="annotation text"/>
    <w:basedOn w:val="Normal"/>
    <w:link w:val="CommentTextChar"/>
    <w:uiPriority w:val="99"/>
    <w:semiHidden/>
    <w:unhideWhenUsed/>
    <w:rsid w:val="007F0B74"/>
  </w:style>
  <w:style w:type="character" w:customStyle="1" w:styleId="CommentTextChar">
    <w:name w:val="Comment Text Char"/>
    <w:basedOn w:val="DefaultParagraphFont"/>
    <w:link w:val="CommentText"/>
    <w:uiPriority w:val="99"/>
    <w:semiHidden/>
    <w:rsid w:val="007F0B74"/>
  </w:style>
  <w:style w:type="paragraph" w:styleId="CommentSubject">
    <w:name w:val="annotation subject"/>
    <w:basedOn w:val="CommentText"/>
    <w:next w:val="CommentText"/>
    <w:link w:val="CommentSubjectChar"/>
    <w:uiPriority w:val="99"/>
    <w:semiHidden/>
    <w:unhideWhenUsed/>
    <w:rsid w:val="007F0B74"/>
    <w:rPr>
      <w:b/>
      <w:bCs/>
      <w:sz w:val="20"/>
      <w:szCs w:val="20"/>
    </w:rPr>
  </w:style>
  <w:style w:type="character" w:customStyle="1" w:styleId="CommentSubjectChar">
    <w:name w:val="Comment Subject Char"/>
    <w:basedOn w:val="CommentTextChar"/>
    <w:link w:val="CommentSubject"/>
    <w:uiPriority w:val="99"/>
    <w:semiHidden/>
    <w:rsid w:val="007F0B74"/>
    <w:rPr>
      <w:b/>
      <w:bCs/>
      <w:sz w:val="20"/>
      <w:szCs w:val="20"/>
    </w:rPr>
  </w:style>
  <w:style w:type="paragraph" w:styleId="BalloonText">
    <w:name w:val="Balloon Text"/>
    <w:basedOn w:val="Normal"/>
    <w:link w:val="BalloonTextChar"/>
    <w:uiPriority w:val="99"/>
    <w:semiHidden/>
    <w:unhideWhenUsed/>
    <w:rsid w:val="007F0B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B74"/>
    <w:rPr>
      <w:rFonts w:ascii="Lucida Grande" w:hAnsi="Lucida Grande" w:cs="Lucida Grande"/>
      <w:sz w:val="18"/>
      <w:szCs w:val="18"/>
    </w:rPr>
  </w:style>
  <w:style w:type="paragraph" w:styleId="EndnoteText">
    <w:name w:val="endnote text"/>
    <w:basedOn w:val="Normal"/>
    <w:link w:val="EndnoteTextChar"/>
    <w:uiPriority w:val="99"/>
    <w:unhideWhenUsed/>
    <w:rsid w:val="007F0B74"/>
  </w:style>
  <w:style w:type="character" w:customStyle="1" w:styleId="EndnoteTextChar">
    <w:name w:val="Endnote Text Char"/>
    <w:basedOn w:val="DefaultParagraphFont"/>
    <w:link w:val="EndnoteText"/>
    <w:uiPriority w:val="99"/>
    <w:rsid w:val="007F0B74"/>
  </w:style>
  <w:style w:type="character" w:styleId="EndnoteReference">
    <w:name w:val="endnote reference"/>
    <w:basedOn w:val="DefaultParagraphFont"/>
    <w:uiPriority w:val="99"/>
    <w:unhideWhenUsed/>
    <w:rsid w:val="007F0B74"/>
    <w:rPr>
      <w:vertAlign w:val="superscript"/>
    </w:rPr>
  </w:style>
  <w:style w:type="character" w:styleId="Hyperlink">
    <w:name w:val="Hyperlink"/>
    <w:basedOn w:val="DefaultParagraphFont"/>
    <w:uiPriority w:val="99"/>
    <w:unhideWhenUsed/>
    <w:rsid w:val="00DF00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710991">
      <w:bodyDiv w:val="1"/>
      <w:marLeft w:val="0"/>
      <w:marRight w:val="0"/>
      <w:marTop w:val="0"/>
      <w:marBottom w:val="0"/>
      <w:divBdr>
        <w:top w:val="none" w:sz="0" w:space="0" w:color="auto"/>
        <w:left w:val="none" w:sz="0" w:space="0" w:color="auto"/>
        <w:bottom w:val="none" w:sz="0" w:space="0" w:color="auto"/>
        <w:right w:val="none" w:sz="0" w:space="0" w:color="auto"/>
      </w:divBdr>
    </w:div>
    <w:div w:id="1698046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1406</TotalTime>
  <Pages>32</Pages>
  <Words>8588</Words>
  <Characters>48953</Characters>
  <Application>Microsoft Macintosh Word</Application>
  <DocSecurity>0</DocSecurity>
  <Lines>407</Lines>
  <Paragraphs>114</Paragraphs>
  <ScaleCrop>false</ScaleCrop>
  <Company>Harvard</Company>
  <LinksUpToDate>false</LinksUpToDate>
  <CharactersWithSpaces>57427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Jasanoff</dc:creator>
  <cp:keywords/>
  <dc:description/>
  <cp:lastModifiedBy>Sheila Jasanoff User</cp:lastModifiedBy>
  <cp:revision>114</cp:revision>
  <dcterms:created xsi:type="dcterms:W3CDTF">2014-05-10T14:34:00Z</dcterms:created>
  <dcterms:modified xsi:type="dcterms:W3CDTF">2014-05-26T15:29:00Z</dcterms:modified>
</cp:coreProperties>
</file>