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Dobrinka Aleksiava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pPr>
            <w:r>
              <w:rPr>
                <w:rFonts w:cs="Arial" w:ascii="Calibri" w:hAnsi="Calibr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bookmarkStart w:id="0" w:name="__DdeLink__59_1406580197"/>
            <w:bookmarkStart w:id="1" w:name="__DdeLink__59_1406580197"/>
            <w:bookmarkEnd w:id="1"/>
            <w:r>
              <w:rPr>
                <w:rFonts w:asciiTheme="minorHAnsi" w:hAnsiTheme="minorHAnsi" w:ascii="Calibri" w:hAnsi="Calibri"/>
              </w:rPr>
            </w:r>
          </w:p>
          <w:p>
            <w:pPr>
              <w:pStyle w:val="Normal"/>
              <w:rPr/>
            </w:pPr>
            <w:r>
              <w:rPr>
                <w:rFonts w:ascii="Calibri" w:hAnsi="Calibri" w:asciiTheme="minorHAnsi" w:hAnsiTheme="minorHAnsi"/>
              </w:rPr>
              <w:t xml:space="preserve">This is a wide-ranging engagement with the topic, and shows a good understanding of some of the core elements of the media-culture approach. Well-done on that. There were some really insightful passages in your interpretation of the Couldry quote.  Your description of the group research project and how it responded to the challenges of researching media culture was also quite effective  Again, I was impressed by the account of discourse analysis and visuality  you developed. </w:t>
            </w:r>
          </w:p>
          <w:p>
            <w:pPr>
              <w:pStyle w:val="Normal"/>
              <w:rPr>
                <w:rFonts w:ascii="Calibri" w:hAnsi="Calibri" w:asciiTheme="minorHAnsi" w:hAnsiTheme="minorHAnsi"/>
              </w:rPr>
            </w:pPr>
            <w:r>
              <w:rPr/>
            </w:r>
          </w:p>
          <w:p>
            <w:pPr>
              <w:pStyle w:val="Normal"/>
              <w:rPr>
                <w:rFonts w:ascii="Calibri" w:hAnsi="Calibri" w:asciiTheme="minorHAnsi" w:hAnsiTheme="minorHAnsi"/>
              </w:rPr>
            </w:pPr>
            <w:r>
              <w:rPr>
                <w:rFonts w:ascii="Calibri" w:hAnsi="Calibri" w:asciiTheme="minorHAnsi" w:hAnsiTheme="minorHAnsi"/>
              </w:rPr>
              <w:t xml:space="preserve">There was some confusion and misalignment around 'being objective' and technology, but overall this was a really good response to the question.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There were some problems with your referencing practice.</w:t>
            </w:r>
            <w:r>
              <w:rPr>
                <w:rFonts w:ascii="Calibri" w:hAnsi="Calibri" w:asciiTheme="minorHAnsi" w:hAnsiTheme="minorHAnsi"/>
              </w:rPr>
              <w:t xml:space="preserve"> Do check the MA Handbook on that. </w:t>
            </w:r>
          </w:p>
          <w:p>
            <w:pPr>
              <w:pStyle w:val="Normal"/>
              <w:rPr>
                <w:rFonts w:ascii="Calibri" w:hAnsi="Calibri" w:asciiTheme="minorHAnsi" w:hAnsiTheme="minorHAnsi"/>
              </w:rPr>
            </w:pPr>
            <w:bookmarkStart w:id="2" w:name="__DdeLink__59_14065801971"/>
            <w:bookmarkStart w:id="3" w:name="__DdeLink__59_14065801971"/>
            <w:bookmarkEnd w:id="3"/>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103" w:type="dxa"/>
        <w:tblCellMar>
          <w:top w:w="0" w:type="dxa"/>
          <w:left w:w="9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4" w:name="_GoBack"/>
            <w:bookmarkEnd w:id="4"/>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tab/>
        <w:tab/>
        <w:t>11 May 2016</w:t>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LibreOffice/5.0.5.2$Linux_X86_64 LibreOffice_project/00m0$Build-2</Application>
  <Paragraphs>16</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2016-05-18T09:46:15Z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