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Xiao-Ran Wang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jc w:val="center"/>
              <w:rPr/>
            </w:pPr>
            <w:r>
              <w:rPr>
                <w:rFonts w:cs="Arial" w:ascii="Calibri" w:hAnsi="Calibri"/>
                <w:sz w:val="24"/>
                <w:szCs w:val="24"/>
              </w:rPr>
              <w:t>60</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9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This was a thoughtful essay that really engaged with the problem of understanding the difficult Couldry quote. Well done on that. I liked your efforts to construct a lucid understanding of the idea of media culture. Some of the references and theoretical framings you drew on were an awkward fit (e.g. Eisenstadt). That said, I would encourage you to draw on a wide range of work. Readings from the course are a good starting point.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Your discussion of the methological challenges of researching media culture was fine, and made some really good points. I was looking here for connnections between your understanding of media culture and what you did in your research project. Some of this started to come through, but was not really developed. For instance, it would have great to describe how you approached the problem of researching Bowie fan practices.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 xml:space="preserve">Some problems with referencing: make sure you include page numbers.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93" w:type="dxa"/>
        <w:tblCellMar>
          <w:top w:w="0" w:type="dxa"/>
          <w:left w:w="88"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88"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r>
      <w:r>
        <w:rPr>
          <w:rFonts w:cs="Arial" w:ascii="Calibri" w:hAnsi="Calibri" w:asciiTheme="minorHAnsi" w:hAnsiTheme="minorHAnsi"/>
          <w:b/>
        </w:rPr>
        <w:t xml:space="preserve">Moderator: </w:t>
      </w:r>
      <w:r>
        <w:rPr>
          <w:rFonts w:cs="Arial" w:ascii="Calibri" w:hAnsi="Calibri" w:asciiTheme="minorHAnsi" w:hAnsiTheme="minorHAnsi"/>
          <w:b w:val="false"/>
          <w:bCs w:val="false"/>
        </w:rPr>
        <w:t>Adam Fish</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Date: 20 May 2016</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LibreOffice/5.0.5.2$Linux_X86_64 LibreOffice_project/00m0$Build-2</Application>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2016-06-06T12:26:43Z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