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302" w:type="dxa"/>
        <w:jc w:val="left"/>
        <w:tblInd w:w="-42" w:type="dxa"/>
        <w:tbl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blBorders>
        <w:tblCellMar>
          <w:top w:w="0" w:type="dxa"/>
          <w:left w:w="-30" w:type="dxa"/>
          <w:bottom w:w="0" w:type="dxa"/>
          <w:right w:w="108" w:type="dxa"/>
        </w:tblCellMar>
      </w:tblPr>
      <w:tblGrid>
        <w:gridCol w:w="2575"/>
        <w:gridCol w:w="2572"/>
        <w:gridCol w:w="2581"/>
        <w:gridCol w:w="2573"/>
      </w:tblGrid>
      <w:tr>
        <w:trPr>
          <w:trHeight w:val="454" w:hRule="atLeast"/>
        </w:trPr>
        <w:tc>
          <w:tcPr>
            <w:tcW w:w="10301" w:type="dxa"/>
            <w:gridSpan w:val="4"/>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vAlign w:val="center"/>
          </w:tcPr>
          <w:p>
            <w:pPr>
              <w:pStyle w:val="Normal"/>
              <w:spacing w:before="0" w:after="0"/>
              <w:jc w:val="center"/>
              <w:rPr>
                <w:b/>
                <w:b/>
                <w:sz w:val="60"/>
                <w:szCs w:val="60"/>
              </w:rPr>
            </w:pPr>
            <w:r>
              <w:rPr>
                <w:b/>
                <w:sz w:val="60"/>
                <w:szCs w:val="60"/>
              </w:rPr>
              <w:t>MARK SHEET</w:t>
            </w:r>
          </w:p>
        </w:tc>
      </w:tr>
      <w:tr>
        <w:trPr>
          <w:trHeight w:val="454" w:hRule="atLeast"/>
        </w:trPr>
        <w:tc>
          <w:tcPr>
            <w:tcW w:w="2575" w:type="dxa"/>
            <w:vMerge w:val="restart"/>
            <w:tcBorders>
              <w:top w:val="single" w:sz="2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w:t>
            </w:r>
          </w:p>
          <w:p>
            <w:pPr>
              <w:pStyle w:val="Normal"/>
              <w:spacing w:before="0" w:after="0"/>
              <w:rPr/>
            </w:pPr>
            <w:r>
              <w:rPr/>
            </w:r>
          </w:p>
          <w:p>
            <w:pPr>
              <w:pStyle w:val="Normal"/>
              <w:spacing w:before="0" w:after="0"/>
              <w:rPr>
                <w:sz w:val="28"/>
                <w:szCs w:val="28"/>
              </w:rPr>
            </w:pPr>
            <w:r>
              <w:rPr>
                <w:sz w:val="28"/>
                <w:szCs w:val="28"/>
              </w:rPr>
              <w:t>Adrian Mackenzie</w:t>
            </w:r>
          </w:p>
        </w:tc>
        <w:tc>
          <w:tcPr>
            <w:tcW w:w="2581"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p>
            <w:pPr>
              <w:pStyle w:val="Normal"/>
              <w:spacing w:before="0" w:after="0"/>
              <w:rPr/>
            </w:pPr>
            <w:r>
              <w:rPr>
                <w:sz w:val="28"/>
                <w:szCs w:val="28"/>
              </w:rPr>
              <w:t>Date (fixed)</w:t>
            </w:r>
          </w:p>
        </w:tc>
        <w:tc>
          <w:tcPr>
            <w:tcW w:w="2573"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p>
            <w:pPr>
              <w:pStyle w:val="Normal"/>
              <w:spacing w:before="0" w:after="0"/>
              <w:rPr/>
            </w:pPr>
            <w:r>
              <w:rPr/>
            </w:r>
          </w:p>
          <w:p>
            <w:pPr>
              <w:pStyle w:val="Normal"/>
              <w:spacing w:before="0" w:after="0"/>
              <w:rPr/>
            </w:pPr>
            <w:r>
              <w:rPr>
                <w:sz w:val="28"/>
                <w:szCs w:val="28"/>
              </w:rPr>
              <w:t>69</w:t>
            </w:r>
          </w:p>
        </w:tc>
      </w:tr>
      <w:tr>
        <w:trPr>
          <w:trHeight w:val="723"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7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pPr>
            <w:r>
              <w:rPr>
                <w:sz w:val="28"/>
                <w:szCs w:val="28"/>
              </w:rPr>
              <w:t>Moderated by:</w:t>
            </w:r>
          </w:p>
          <w:p>
            <w:pPr>
              <w:pStyle w:val="Normal"/>
              <w:spacing w:before="0" w:after="0"/>
              <w:rPr/>
            </w:pPr>
            <w:r>
              <w:rPr>
                <w:sz w:val="28"/>
                <w:szCs w:val="28"/>
              </w:rPr>
              <w:t>Adam Fish</w:t>
            </w:r>
          </w:p>
        </w:tc>
        <w:tc>
          <w:tcPr>
            <w:tcW w:w="2581"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73"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r>
          </w:p>
        </w:tc>
      </w:tr>
      <w:tr>
        <w:trPr>
          <w:trHeight w:val="461"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trPr>
        <w:tc>
          <w:tcPr>
            <w:tcW w:w="2575" w:type="dxa"/>
            <w:vMerge w:val="continue"/>
            <w:tcBorders>
              <w:top w:val="single" w:sz="4" w:space="0" w:color="00000A"/>
              <w:left w:val="single" w:sz="24" w:space="0" w:color="00000A"/>
              <w:bottom w:val="single" w:sz="4" w:space="0" w:color="00000A"/>
              <w:right w:val="single" w:sz="24" w:space="0" w:color="00000A"/>
              <w:insideH w:val="single" w:sz="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Agreed mark:</w:t>
            </w:r>
          </w:p>
        </w:tc>
      </w:tr>
      <w:tr>
        <w:trPr>
          <w:trHeight w:val="461" w:hRule="atLeast"/>
        </w:trPr>
        <w:tc>
          <w:tcPr>
            <w:tcW w:w="2575" w:type="dxa"/>
            <w:vMerge w:val="continue"/>
            <w:tcBorders>
              <w:top w:val="single" w:sz="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6" w:type="dxa"/>
            <w:gridSpan w:val="3"/>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jc w:val="both"/>
              <w:rPr/>
            </w:pPr>
            <w:r>
              <w:rPr>
                <w:sz w:val="28"/>
                <w:szCs w:val="28"/>
              </w:rPr>
              <w:t>Student Name: Group South</w:t>
            </w:r>
          </w:p>
        </w:tc>
      </w:tr>
    </w:tbl>
    <w:p>
      <w:pPr>
        <w:pStyle w:val="Normal"/>
        <w:rPr>
          <w:sz w:val="28"/>
          <w:szCs w:val="28"/>
        </w:rPr>
      </w:pPr>
      <w:r>
        <w:rPr>
          <w:sz w:val="28"/>
          <w:szCs w:val="28"/>
        </w:rPr>
      </w:r>
    </w:p>
    <w:tbl>
      <w:tblPr>
        <w:tblW w:w="9242" w:type="dxa"/>
        <w:jc w:val="left"/>
        <w:tblInd w:w="-15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top w:w="0" w:type="dxa"/>
          <w:left w:w="-30" w:type="dxa"/>
          <w:bottom w:w="0" w:type="dxa"/>
          <w:right w:w="108" w:type="dxa"/>
        </w:tblCellMar>
      </w:tblPr>
      <w:tblGrid>
        <w:gridCol w:w="9242"/>
      </w:tblGrid>
      <w:tr>
        <w:trPr/>
        <w:tc>
          <w:tcPr>
            <w:tcW w:w="924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pPr>
            <w:r>
              <w:rPr>
                <w:b/>
                <w:sz w:val="28"/>
                <w:szCs w:val="28"/>
              </w:rPr>
              <w:t xml:space="preserve">First Marker Comments: </w:t>
            </w:r>
          </w:p>
          <w:p>
            <w:pPr>
              <w:pStyle w:val="Normal"/>
              <w:spacing w:before="0" w:after="0"/>
              <w:rPr>
                <w:b/>
                <w:b/>
                <w:sz w:val="28"/>
                <w:szCs w:val="28"/>
              </w:rPr>
            </w:pPr>
            <w:r>
              <w:rPr>
                <w:b/>
                <w:sz w:val="28"/>
                <w:szCs w:val="28"/>
              </w:rPr>
            </w:r>
          </w:p>
          <w:p>
            <w:pPr>
              <w:pStyle w:val="Heading2"/>
              <w:numPr>
                <w:ilvl w:val="1"/>
                <w:numId w:val="1"/>
              </w:numPr>
              <w:rPr/>
            </w:pPr>
            <w:r>
              <w:rPr/>
              <w:t>Group South 'Syrian  refugees and UK social media activism'</w:t>
            </w:r>
          </w:p>
          <w:p>
            <w:pPr>
              <w:pStyle w:val="TextBody"/>
              <w:rPr/>
            </w:pPr>
            <w:r>
              <w:rPr/>
            </w:r>
          </w:p>
          <w:p>
            <w:pPr>
              <w:pStyle w:val="TextBody"/>
              <w:rPr/>
            </w:pPr>
            <w:hyperlink r:id="rId2">
              <w:r>
                <w:rPr>
                  <w:rStyle w:val="InternetLink"/>
                </w:rPr>
                <w:t>https://southborder.wordpress.com/</w:t>
              </w:r>
            </w:hyperlink>
          </w:p>
          <w:p>
            <w:pPr>
              <w:pStyle w:val="TextBody"/>
              <w:rPr/>
            </w:pPr>
            <w:r>
              <w:rPr/>
            </w:r>
          </w:p>
          <w:p>
            <w:pPr>
              <w:pStyle w:val="TextBody"/>
              <w:spacing w:before="0" w:after="0"/>
              <w:rPr/>
            </w:pPr>
            <w:r>
              <w:rPr>
                <w:b w:val="false"/>
                <w:bCs w:val="false"/>
                <w:sz w:val="28"/>
                <w:szCs w:val="28"/>
              </w:rPr>
              <w:t>Lilly, Meng-Qi and Stephen,</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This was an excellent  project in many respects. The group research project effectively documented practical awareness of important methods in media and cultural studies. It showed that the group was thinking about how different methods of working with media materials allowed different aspects of media cultures to emerge.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 </w:t>
            </w:r>
            <w:r>
              <w:rPr>
                <w:b w:val="false"/>
                <w:bCs w:val="false"/>
                <w:sz w:val="28"/>
                <w:szCs w:val="28"/>
              </w:rPr>
              <w:t xml:space="preserve">It actually brought together a wide range of relevant empirical materials and did generate some analytical insights, even in the preliminary analyses undertaken here. It would actually be quite good to see this research project carried out!.  I also appreciated reflections on the difficulties of working with different methods (for instance, the notion of textual environment or textuality) as well as the different viewpoints of the research group members on their own relation to the research.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I was impressed by the completeness of the blog entries and their conscientious engagement with the methodological problems of studying contemporary media cultures.  I also liked the fact that you introduced the weekly postings in ways that allowed them to make some sense in isolation. The high points for me of your project were the attempt to imagine a discourse analysis of the Syrian Refugee Crisis.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The project, as a research project, had a double focus (social activism in UK and refugee women's voices in UK media), which complicated the research plans and methods, and indeed, the analysis of sample empirical materials. Normally research questions are connected together in an over-arching question. A dual focus project is much harder to manage because in practice it will involve two different sets of research activities.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The blog overall made some good use of the textual and visual affordances of the wordpress site. The 'about' page could perhaps have been used to present an overview of the overall project. It was left with template text. </w:t>
            </w:r>
          </w:p>
          <w:p>
            <w:pPr>
              <w:pStyle w:val="TextBody"/>
              <w:spacing w:before="0" w:after="0"/>
              <w:rPr>
                <w:b w:val="false"/>
                <w:b w:val="false"/>
                <w:bCs w:val="false"/>
                <w:sz w:val="28"/>
                <w:szCs w:val="28"/>
              </w:rPr>
            </w:pPr>
            <w:r>
              <w:rPr>
                <w:b w:val="false"/>
                <w:bCs w:val="false"/>
                <w:sz w:val="28"/>
                <w:szCs w:val="28"/>
              </w:rPr>
            </w:r>
          </w:p>
          <w:p>
            <w:pPr>
              <w:pStyle w:val="TextBody"/>
              <w:spacing w:before="0" w:after="0"/>
              <w:rPr/>
            </w:pPr>
            <w:r>
              <w:rPr>
                <w:b w:val="false"/>
                <w:bCs w:val="false"/>
                <w:sz w:val="28"/>
                <w:szCs w:val="28"/>
              </w:rPr>
              <w:t xml:space="preserve">I could see that all members of the group were contributing to some extent during the different parts of the group project, but that some members definitely posted a lot more writing than others. I have decided to distribute the marks a bit differently.   </w:t>
            </w:r>
          </w:p>
          <w:p>
            <w:pPr>
              <w:pStyle w:val="Normal"/>
              <w:spacing w:before="0" w:after="0"/>
              <w:rPr>
                <w:b/>
                <w:b/>
                <w:sz w:val="28"/>
                <w:szCs w:val="28"/>
              </w:rPr>
            </w:pPr>
            <w:r>
              <w:rPr>
                <w:b/>
                <w:sz w:val="28"/>
                <w:szCs w:val="28"/>
              </w:rPr>
            </w:r>
          </w:p>
        </w:tc>
      </w:tr>
      <w:tr>
        <w:trPr/>
        <w:tc>
          <w:tcPr>
            <w:tcW w:w="9242" w:type="dxa"/>
            <w:tc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cBorders>
            <w:shd w:fill="FFFFFF" w:val="clear"/>
            <w:tcMar>
              <w:left w:w="-30" w:type="dxa"/>
            </w:tcMar>
          </w:tcPr>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en-GB"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Heading2">
    <w:name w:val="Heading 2"/>
    <w:basedOn w:val="Heading"/>
    <w:qFormat/>
    <w:pPr>
      <w:outlineLvl w:val="1"/>
    </w:pPr>
    <w:rPr>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6556f"/>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86556f"/>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655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thborder.wordpres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LibreOffice/5.0.5.2$Linux_X86_64 LibreOffice_project/00m0$Build-2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dcterms:modified xsi:type="dcterms:W3CDTF">2016-06-06T12:35:00Z</dcterms:modified>
  <cp:revision>25</cp:revision>
</cp:coreProperties>
</file>