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Tiomjiao Li, Jiajia Wang, Yudan Pang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58</w:t>
            </w:r>
            <w:bookmarkStart w:id="0" w:name="_GoBack"/>
            <w:bookmarkEnd w:id="0"/>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The assignment follows the standards outlines in terms of sections. More on the outcomes and critiques of the method would be helpful to position the paper within the aims of course related to method. Also a bit concerned that the theory section brings in so many possible elements for future analysis, but not sure elements such as HM come to be clearly articulated in the data shared.</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Lacking more recent work on UG and even on HM and related elements in online worlds. This also has an internationalization challenge – how do these perspectives operate online and in these types of games and relationships, particularly in China?</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paragraph length makes the argument a bit hard to process. Make shorter graphs, ie 2-3 a page. Some proofreading is also needed.</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analysis at this stage is very detailed, and I like how you were able to initially identify specific themes of analysis. Just make sure that each section represents elements from the conceptual framework, as it is quite descriptive now and needs to be placed within the theory.</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24"/>
              </w:rPr>
            </w:pPr>
            <w:r>
              <w:rPr>
                <w:rFonts w:ascii="Calibri" w:hAnsi="Calibri" w:asciiTheme="minorHAnsi" w:hAnsiTheme="minorHAnsi"/>
                <w:b/>
                <w:sz w:val="18"/>
                <w:szCs w:val="18"/>
              </w:rPr>
              <w:t>As discussed above, this needs a bit more clarity and cleaning to make the paper one that provides an analysis of the method as well as the topics and theories at hand.</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p>
      <w:pPr>
        <w:pStyle w:val="Normal"/>
        <w:rPr/>
      </w:pPr>
      <w:r>
        <w:rPr/>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customStyle="1">
    <w:name w:val="Internet Link"/>
    <w:basedOn w:val="DefaultParagraphFont"/>
    <w:uiPriority w:val="99"/>
    <w:semiHidden/>
    <w:unhideWhenUsed/>
    <w:rsid w:val="0044321d"/>
    <w:rPr>
      <w:color w:val="0000FF"/>
      <w:u w:val="single"/>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44321d"/>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2</Pages>
  <Words>418</Words>
  <Characters>2213</Characters>
  <CharactersWithSpaces>2600</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2018-04-21T10:02:00Z</dcterms:created>
  <dc:creator>Gilloch, Graeme</dc:creator>
  <dc:description/>
  <dc:language>en-GB</dc:language>
  <cp:lastModifiedBy>Adrian</cp:lastModifiedBy>
  <cp:lastPrinted>2015-03-23T11:33:00Z</cp:lastPrinted>
  <dcterms:modified xsi:type="dcterms:W3CDTF">2018-05-29T07:29:17Z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