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2"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30" w:type="dxa"/>
          <w:bottom w:w="0" w:type="dxa"/>
          <w:right w:w="108" w:type="dxa"/>
        </w:tblCellMar>
      </w:tblPr>
      <w:tblGrid>
        <w:gridCol w:w="2591"/>
        <w:gridCol w:w="2578"/>
        <w:gridCol w:w="2568"/>
        <w:gridCol w:w="2562"/>
      </w:tblGrid>
      <w:tr>
        <w:trPr>
          <w:trHeight w:val="454" w:hRule="atLeast"/>
          <w:cantSplit w:val="false"/>
        </w:trPr>
        <w:tc>
          <w:tcPr>
            <w:tcW w:w="10299"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91"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7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 Adrian Mackenzie</w:t>
            </w:r>
          </w:p>
        </w:tc>
        <w:tc>
          <w:tcPr>
            <w:tcW w:w="256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Date:Date (fixed)</w:t>
            </w:r>
          </w:p>
        </w:tc>
        <w:tc>
          <w:tcPr>
            <w:tcW w:w="256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 56</w:t>
            </w:r>
          </w:p>
        </w:tc>
      </w:tr>
      <w:tr>
        <w:trPr>
          <w:trHeight w:val="723" w:hRule="atLeast"/>
          <w:cantSplit w:val="false"/>
        </w:trPr>
        <w:tc>
          <w:tcPr>
            <w:tcW w:w="2591"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7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Second marked by:</w:t>
            </w:r>
          </w:p>
          <w:p>
            <w:pPr>
              <w:pStyle w:val="Normal"/>
              <w:spacing w:before="0" w:after="0"/>
              <w:rPr>
                <w:sz w:val="28"/>
                <w:szCs w:val="28"/>
              </w:rPr>
            </w:pPr>
            <w:r>
              <w:rPr>
                <w:sz w:val="28"/>
                <w:szCs w:val="28"/>
              </w:rPr>
              <w:t>Imogen Tyler</w:t>
            </w:r>
          </w:p>
        </w:tc>
        <w:tc>
          <w:tcPr>
            <w:tcW w:w="256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6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 56</w:t>
            </w:r>
          </w:p>
        </w:tc>
      </w:tr>
      <w:tr>
        <w:trPr>
          <w:trHeight w:val="461" w:hRule="atLeast"/>
          <w:cantSplit w:val="false"/>
        </w:trPr>
        <w:tc>
          <w:tcPr>
            <w:tcW w:w="2591"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08"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 socl923</w:t>
            </w:r>
          </w:p>
        </w:tc>
      </w:tr>
      <w:tr>
        <w:trPr>
          <w:trHeight w:val="461" w:hRule="atLeast"/>
          <w:cantSplit w:val="false"/>
        </w:trPr>
        <w:tc>
          <w:tcPr>
            <w:tcW w:w="2591"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08"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 xml:space="preserve">Agreed mark: </w:t>
            </w:r>
            <w:r>
              <w:rPr>
                <w:sz w:val="28"/>
                <w:szCs w:val="28"/>
              </w:rPr>
              <w:t>56</w:t>
            </w:r>
          </w:p>
        </w:tc>
      </w:tr>
      <w:tr>
        <w:trPr>
          <w:trHeight w:val="461" w:hRule="atLeast"/>
          <w:cantSplit w:val="false"/>
        </w:trPr>
        <w:tc>
          <w:tcPr>
            <w:tcW w:w="2591"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08"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jc w:val="both"/>
              <w:rPr>
                <w:sz w:val="28"/>
                <w:szCs w:val="28"/>
              </w:rPr>
            </w:pPr>
            <w:r>
              <w:rPr>
                <w:sz w:val="28"/>
                <w:szCs w:val="28"/>
              </w:rPr>
              <w:t>Student Name: Que Yidu</w:t>
            </w:r>
          </w:p>
        </w:tc>
      </w:tr>
    </w:tbl>
    <w:p>
      <w:pPr>
        <w:pStyle w:val="Normal"/>
        <w:rPr>
          <w:sz w:val="28"/>
          <w:szCs w:val="28"/>
        </w:rPr>
      </w:pPr>
      <w:r>
        <w:rPr>
          <w:sz w:val="28"/>
          <w:szCs w:val="28"/>
        </w:rPr>
      </w:r>
    </w:p>
    <w:tbl>
      <w:tblPr>
        <w:jc w:val="left"/>
        <w:tblInd w:w="-12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30"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First Marker Comments: </w:t>
            </w:r>
          </w:p>
          <w:p>
            <w:pPr>
              <w:pStyle w:val="Normal"/>
              <w:spacing w:before="0" w:after="0"/>
              <w:rPr>
                <w:b/>
                <w:sz w:val="28"/>
                <w:szCs w:val="28"/>
              </w:rPr>
            </w:pPr>
            <w:r>
              <w:rPr>
                <w:b/>
                <w:sz w:val="28"/>
                <w:szCs w:val="28"/>
              </w:rPr>
              <w:t>Yidu,</w:t>
            </w:r>
          </w:p>
          <w:p>
            <w:pPr>
              <w:pStyle w:val="Normal"/>
              <w:spacing w:before="0" w:after="0"/>
              <w:rPr>
                <w:sz w:val="28"/>
                <w:szCs w:val="28"/>
              </w:rPr>
            </w:pPr>
            <w:r>
              <w:rPr>
                <w:sz w:val="28"/>
                <w:szCs w:val="28"/>
              </w:rPr>
              <w:t xml:space="preserve">You offered an interesting characterisation of the complexity of contemporary media. It relied perhaps a little too much on work done in socl940 (Critical Debates in Media and Cultural Studies). I don't regard that as a major problem, but it possibly draws attention away from the main topic of your essay a bit, and it is not very smoothly connected to the main focus on the question of methods in media and cultural studies. I think the essay was stronger in its discussion of the group research project. There you exemplified some of the difficulties that were abstractly characterised in the first part of the essay. </w:t>
            </w:r>
          </w:p>
          <w:p>
            <w:pPr>
              <w:pStyle w:val="Normal"/>
              <w:spacing w:before="0" w:after="0"/>
              <w:rPr>
                <w:sz w:val="28"/>
                <w:szCs w:val="28"/>
              </w:rPr>
            </w:pPr>
            <w:r>
              <w:rPr>
                <w:sz w:val="28"/>
                <w:szCs w:val="28"/>
              </w:rPr>
              <w:t>There were problems in expression that slightly blurred what you were saying.</w:t>
            </w:r>
          </w:p>
          <w:p>
            <w:pPr>
              <w:pStyle w:val="Normal"/>
              <w:spacing w:before="0" w:after="0"/>
              <w:rPr/>
            </w:pPr>
            <w:r>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sz w:val="28"/>
                <w:szCs w:val="28"/>
              </w:rPr>
            </w:pPr>
            <w:r>
              <w:rPr>
                <w:sz w:val="28"/>
                <w:szCs w:val="28"/>
              </w:rPr>
              <w:t>As I wasn’t involved in critical debates course, I found the introduction and discussion of the material taught on that course interesting, although perhaps too many theoretical approaches where discussed which meant you had less space to focus on the key question, ie. the Couldry quotation and group project. The reflective section on the analysis of the Megan Trainor video was good, although I felt I wanted to know a little more about this video, the production context, the content. Without watching the video myself there was</w:t>
            </w:r>
            <w:bookmarkStart w:id="0" w:name="_GoBack"/>
            <w:bookmarkEnd w:id="0"/>
            <w:r>
              <w:rPr>
                <w:sz w:val="28"/>
                <w:szCs w:val="28"/>
              </w:rPr>
              <w:t xml:space="preserve"> not enough context in your writing for the reader to get a clear sense of what it is a media-cultural object/text.</w:t>
            </w:r>
          </w:p>
          <w:p>
            <w:pPr>
              <w:pStyle w:val="Normal"/>
              <w:spacing w:before="0" w:after="0"/>
              <w:rPr>
                <w:sz w:val="28"/>
                <w:szCs w:val="28"/>
              </w:rPr>
            </w:pPr>
            <w:r>
              <w:rPr>
                <w:sz w:val="28"/>
                <w:szCs w:val="28"/>
              </w:rPr>
            </w:r>
          </w:p>
          <w:p>
            <w:pPr>
              <w:pStyle w:val="Normal"/>
              <w:spacing w:before="0" w:after="0"/>
              <w:rPr>
                <w:sz w:val="28"/>
                <w:szCs w:val="28"/>
              </w:rPr>
            </w:pPr>
            <w:r>
              <w:rPr>
                <w:sz w:val="28"/>
                <w:szCs w:val="28"/>
              </w:rPr>
              <w:t>Some of the sentences where awkwardly formulated, and I understand it must be difficult writing in academic English and about complex ideas. The only way to improve this is through proof-reading, and over time it will get easier.</w:t>
            </w:r>
          </w:p>
          <w:p>
            <w:pPr>
              <w:pStyle w:val="Normal"/>
              <w:spacing w:before="0" w:after="0"/>
              <w:rPr>
                <w:sz w:val="28"/>
                <w:szCs w:val="28"/>
              </w:rPr>
            </w:pPr>
            <w:r>
              <w:rPr>
                <w:sz w:val="28"/>
                <w:szCs w:val="28"/>
              </w:rPr>
            </w:r>
          </w:p>
          <w:p>
            <w:pPr>
              <w:pStyle w:val="Normal"/>
              <w:spacing w:before="0" w:after="0"/>
              <w:rPr>
                <w:sz w:val="28"/>
                <w:szCs w:val="28"/>
              </w:rPr>
            </w:pPr>
            <w:r>
              <w:rPr>
                <w:sz w:val="28"/>
                <w:szCs w:val="28"/>
              </w:rPr>
              <w:t>Overall, this was an interesting read, which would have benefited from trying to cover less material and focusing more quickly on the central question and group project.</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2015-05-27T12:38:00Z</dcterms:created>
  <dc:creator>Prill, Cathlin</dc:creator>
  <dc:language>en-GB</dc:language>
  <cp:lastModifiedBy>Tyler, Imogen</cp:lastModifiedBy>
  <dcterms:modified xsi:type="dcterms:W3CDTF">2015-05-27T12:53:00Z</dcterms:modified>
  <cp:revision>3</cp:revision>
</cp:coreProperties>
</file>