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02"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30" w:type="dxa"/>
          <w:bottom w:w="0" w:type="dxa"/>
          <w:right w:w="108" w:type="dxa"/>
        </w:tblCellMar>
      </w:tblPr>
      <w:tblGrid>
        <w:gridCol w:w="2574"/>
        <w:gridCol w:w="2563"/>
        <w:gridCol w:w="2574"/>
        <w:gridCol w:w="2585"/>
      </w:tblGrid>
      <w:tr>
        <w:trPr>
          <w:trHeight w:val="454" w:hRule="atLeast"/>
          <w:cantSplit w:val="false"/>
        </w:trPr>
        <w:tc>
          <w:tcPr>
            <w:tcW w:w="10296"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4"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vAlign w:val="center"/>
          </w:tcPr>
          <w:p>
            <w:pPr>
              <w:pStyle w:val="Normal"/>
              <w:spacing w:before="0" w:after="0"/>
              <w:jc w:val="center"/>
              <w:rPr>
                <w:sz w:val="28"/>
                <w:szCs w:val="28"/>
              </w:rPr>
            </w:pPr>
            <w:r>
              <w:rPr>
                <w:sz w:val="28"/>
                <w:szCs w:val="28"/>
              </w:rPr>
              <w:t>This mark is provisional</w:t>
            </w:r>
          </w:p>
        </w:tc>
        <w:tc>
          <w:tcPr>
            <w:tcW w:w="256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First marked by: Adrian Mackenzie</w:t>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Date:Date (fixed)</w:t>
            </w:r>
          </w:p>
        </w:tc>
        <w:tc>
          <w:tcPr>
            <w:tcW w:w="258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 6</w:t>
            </w:r>
            <w:r>
              <w:rPr>
                <w:sz w:val="28"/>
                <w:szCs w:val="28"/>
              </w:rPr>
              <w:t>6</w:t>
            </w:r>
          </w:p>
        </w:tc>
      </w:tr>
      <w:tr>
        <w:trPr>
          <w:trHeight w:val="723"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256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Second marked by:</w:t>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Date:</w:t>
            </w:r>
          </w:p>
        </w:tc>
        <w:tc>
          <w:tcPr>
            <w:tcW w:w="2585"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Mark Awarded:</w:t>
            </w:r>
          </w:p>
        </w:tc>
      </w:tr>
      <w:tr>
        <w:trPr>
          <w:trHeight w:val="461"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2"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cantSplit w:val="false"/>
        </w:trPr>
        <w:tc>
          <w:tcPr>
            <w:tcW w:w="2574"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2"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t>Agreed mark:</w:t>
            </w:r>
          </w:p>
        </w:tc>
      </w:tr>
      <w:tr>
        <w:trPr>
          <w:trHeight w:val="461" w:hRule="atLeast"/>
          <w:cantSplit w:val="false"/>
        </w:trPr>
        <w:tc>
          <w:tcPr>
            <w:tcW w:w="2574"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sz w:val="28"/>
                <w:szCs w:val="28"/>
              </w:rPr>
            </w:pPr>
            <w:r>
              <w:rPr>
                <w:sz w:val="28"/>
                <w:szCs w:val="28"/>
              </w:rPr>
            </w:r>
          </w:p>
        </w:tc>
        <w:tc>
          <w:tcPr>
            <w:tcW w:w="7722"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jc w:val="both"/>
              <w:rPr>
                <w:sz w:val="28"/>
                <w:szCs w:val="28"/>
              </w:rPr>
            </w:pPr>
            <w:r>
              <w:rPr>
                <w:sz w:val="28"/>
                <w:szCs w:val="28"/>
              </w:rPr>
              <w:t>Student Name:  Katie Capstick</w:t>
            </w:r>
          </w:p>
        </w:tc>
      </w:tr>
    </w:tbl>
    <w:p>
      <w:pPr>
        <w:pStyle w:val="Normal"/>
        <w:rPr>
          <w:sz w:val="28"/>
          <w:szCs w:val="28"/>
        </w:rPr>
      </w:pPr>
      <w:r>
        <w:rPr>
          <w:sz w:val="28"/>
          <w:szCs w:val="28"/>
        </w:rPr>
      </w:r>
    </w:p>
    <w:tbl>
      <w:tblPr>
        <w:jc w:val="left"/>
        <w:tblInd w:w="-21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30"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First Marker Comments: </w:t>
            </w:r>
          </w:p>
          <w:p>
            <w:pPr>
              <w:pStyle w:val="Normal"/>
              <w:spacing w:before="0" w:after="0"/>
              <w:rPr/>
            </w:pPr>
            <w:r>
              <w:rPr/>
            </w:r>
          </w:p>
          <w:p>
            <w:pPr>
              <w:pStyle w:val="Normal"/>
              <w:spacing w:before="0" w:after="0"/>
              <w:rPr/>
            </w:pPr>
            <w:r>
              <w:rPr/>
            </w:r>
          </w:p>
          <w:p>
            <w:pPr>
              <w:pStyle w:val="TextBody"/>
              <w:rPr/>
            </w:pPr>
            <w:r>
              <w:rPr/>
              <w:t>Katie,</w:t>
            </w:r>
          </w:p>
          <w:p>
            <w:pPr>
              <w:pStyle w:val="TextBody"/>
              <w:rPr/>
            </w:pPr>
            <w:r>
              <w:rPr/>
            </w:r>
          </w:p>
          <w:p>
            <w:pPr>
              <w:pStyle w:val="TextBody"/>
              <w:rPr/>
            </w:pPr>
            <w:r>
              <w:rPr/>
              <w:t xml:space="preserve">In many ways, I think your essay engaged well with the topic. It discusses a range of different methods used in your group research project, and it insightfully analyses Couldry's account of cultural studies and its methods. It demonstrates a capacity to think at various levels, to bring together different theoretical and empirical materials, and to construct an overall argument. </w:t>
            </w:r>
          </w:p>
          <w:p>
            <w:pPr>
              <w:pStyle w:val="TextBody"/>
              <w:rPr/>
            </w:pPr>
            <w:r>
              <w:rPr/>
            </w:r>
          </w:p>
          <w:p>
            <w:pPr>
              <w:pStyle w:val="TextBody"/>
              <w:rPr/>
            </w:pPr>
            <w:r>
              <w:rPr/>
              <w:t xml:space="preserve">Your essay begins with an interesting, slightly ambiguous discussion about culture and 'its pedagogy.' I think you were referring to the pedagogy of cultural studies rather than teaching culture per se, but the slippage between culture and cultural studies continues through much of the essay. (It reappears for instance in your discussion of disciplining.) The essay made some very good points, but they were blurred a bit. It was fine to use a media frames approach, although, as you mention, that approach is used in communication not media and cultural studies. Likewise, it was very relevant to draw on feminist analysis, but from the perspective of media and cultural studies methods, it is important to say what kind of techniques of reading, interpreting, analysing, decoding, observing, reflecting, etc. you  use in doing that analysis.  </w:t>
            </w:r>
          </w:p>
          <w:p>
            <w:pPr>
              <w:pStyle w:val="TextBody"/>
              <w:rPr/>
            </w:pPr>
            <w:r>
              <w:rPr/>
            </w:r>
          </w:p>
          <w:p>
            <w:pPr>
              <w:pStyle w:val="TextBody"/>
              <w:rPr/>
            </w:pPr>
            <w:r>
              <w:rPr/>
              <w:t>I did like the parts of the essay that worked with more specific examples from the research project. The documentation of the empirical materials was effective</w:t>
            </w:r>
          </w:p>
          <w:p>
            <w:pPr>
              <w:pStyle w:val="TextBody"/>
              <w:rPr/>
            </w:pPr>
            <w:r>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30"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