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75"/>
        <w:gridCol w:w="2567"/>
        <w:gridCol w:w="2575"/>
        <w:gridCol w:w="2582"/>
      </w:tblGrid>
      <w:tr>
        <w:trPr>
          <w:trHeight w:val="454" w:hRule="atLeast"/>
          <w:cantSplit w:val="false"/>
        </w:trPr>
        <w:tc>
          <w:tcPr>
            <w:tcW w:w="10299"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5"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6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p>
            <w:pPr>
              <w:pStyle w:val="Normal"/>
              <w:spacing w:before="0" w:after="0"/>
              <w:rPr>
                <w:sz w:val="28"/>
                <w:szCs w:val="28"/>
              </w:rPr>
            </w:pPr>
            <w:r>
              <w:rPr>
                <w:sz w:val="28"/>
                <w:szCs w:val="28"/>
              </w:rPr>
              <w:t>12 May 2015</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6</w:t>
            </w:r>
            <w:r>
              <w:rPr>
                <w:sz w:val="28"/>
                <w:szCs w:val="28"/>
              </w:rPr>
              <w:t>4</w:t>
            </w:r>
          </w:p>
        </w:tc>
      </w:tr>
      <w:tr>
        <w:trPr>
          <w:trHeight w:val="723"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6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cantSplit w:val="false"/>
        </w:trPr>
        <w:tc>
          <w:tcPr>
            <w:tcW w:w="2575"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Zhang Yuting</w:t>
            </w:r>
          </w:p>
        </w:tc>
      </w:tr>
    </w:tbl>
    <w:p>
      <w:pPr>
        <w:pStyle w:val="Normal"/>
        <w:rPr>
          <w:sz w:val="28"/>
          <w:szCs w:val="28"/>
        </w:rPr>
      </w:pPr>
      <w:r>
        <w:rPr>
          <w:sz w:val="28"/>
          <w:szCs w:val="28"/>
        </w:rPr>
      </w:r>
    </w:p>
    <w:tbl>
      <w:tblPr>
        <w:jc w:val="left"/>
        <w:tblInd w:w="-12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t>Yuting,</w:t>
            </w:r>
          </w:p>
          <w:p>
            <w:pPr>
              <w:pStyle w:val="Normal"/>
              <w:spacing w:before="0" w:after="0"/>
              <w:rPr/>
            </w:pPr>
            <w:r>
              <w:rPr/>
            </w:r>
          </w:p>
          <w:p>
            <w:pPr>
              <w:pStyle w:val="Normal"/>
              <w:spacing w:before="0" w:after="0"/>
              <w:rPr/>
            </w:pPr>
            <w:r>
              <w:rPr/>
              <w:t>This was an ambitious and wid</w:t>
            </w:r>
            <w:r>
              <w:rPr/>
              <w:t>e</w:t>
            </w:r>
            <w:r>
              <w:rPr/>
              <w:t xml:space="preserve">-ranging response to the question. I liked the way you framed the project of cultural studies in the opening of the essay. You draw quite impressively on sociology to do that, which I think is ok, although </w:t>
            </w:r>
            <w:r>
              <w:rPr/>
              <w:t xml:space="preserve">sociology is </w:t>
            </w:r>
            <w:r>
              <w:rPr/>
              <w:t>not the main focus of this course. You</w:t>
            </w:r>
            <w:r>
              <w:rPr/>
              <w:t xml:space="preserve">r engagement with problem of methods in cultural studies as described by </w:t>
            </w:r>
            <w:r>
              <w:rPr/>
              <w:t xml:space="preserve">Couldry  </w:t>
            </w:r>
            <w:r>
              <w:rPr/>
              <w:t>was quite good</w:t>
            </w:r>
            <w:r>
              <w:rPr/>
              <w:t>, but detailed discussion of cultural studies research remained a little too much in the background. For instance, you very quickly move over the central topic of power in culture. At the same time, I think your focus on ethnography allowed you to make good connections with relevant aspects of experience, everyday life, elites, etc.</w:t>
            </w:r>
          </w:p>
          <w:p>
            <w:pPr>
              <w:pStyle w:val="Normal"/>
              <w:spacing w:before="0" w:after="0"/>
              <w:rPr/>
            </w:pPr>
            <w:r>
              <w:rPr/>
              <w:t xml:space="preserve">Your discussion of the group research project was a little marginal in the essay. I understand that it was not a simple project to write about. It would have been tactically better to introduce it earlier in the easier, and perhaps link some of the difficulties you encountered to your discussion of methods in media and cultural studies throughout the essay.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